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9"/>
        <w:gridCol w:w="2719"/>
        <w:gridCol w:w="1636"/>
        <w:gridCol w:w="3388"/>
        <w:gridCol w:w="1072"/>
        <w:gridCol w:w="326"/>
        <w:gridCol w:w="3286"/>
      </w:tblGrid>
      <w:tr w:rsidR="00D741F3" w:rsidRPr="00421EF6" w:rsidTr="001038DE">
        <w:trPr>
          <w:trHeight w:val="237"/>
          <w:jc w:val="center"/>
        </w:trPr>
        <w:tc>
          <w:tcPr>
            <w:tcW w:w="617" w:type="pct"/>
            <w:vMerge w:val="restart"/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83421" cy="576848"/>
                  <wp:effectExtent l="0" t="0" r="7620" b="0"/>
                  <wp:docPr id="13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RENCANA PEMBELAJARAN SEMESTER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No. Dokumen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FIP-UPI-RPS-PSI-</w:t>
            </w:r>
            <w:r>
              <w:rPr>
                <w:rFonts w:ascii="Arial Narrow" w:hAnsi="Arial Narrow"/>
              </w:rPr>
              <w:t>02</w:t>
            </w:r>
          </w:p>
        </w:tc>
      </w:tr>
      <w:tr w:rsidR="00D741F3" w:rsidRPr="00421EF6" w:rsidTr="001038DE">
        <w:trPr>
          <w:trHeight w:val="236"/>
          <w:jc w:val="center"/>
        </w:trPr>
        <w:tc>
          <w:tcPr>
            <w:tcW w:w="617" w:type="pct"/>
            <w:vMerge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Revisi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</w:rPr>
              <w:t>00</w:t>
            </w:r>
          </w:p>
        </w:tc>
      </w:tr>
      <w:tr w:rsidR="00D741F3" w:rsidRPr="00421EF6" w:rsidTr="001038DE">
        <w:trPr>
          <w:trHeight w:val="236"/>
          <w:jc w:val="center"/>
        </w:trPr>
        <w:tc>
          <w:tcPr>
            <w:tcW w:w="617" w:type="pct"/>
            <w:vMerge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</w:rPr>
              <w:t>SEJARAH ALIRAN DAN PERSPEKTIF PSIKOLOGI</w:t>
            </w:r>
          </w:p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Tanggal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2 Juli</w:t>
            </w: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201</w:t>
            </w:r>
            <w:r w:rsidRPr="00421EF6"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</w:tr>
      <w:tr w:rsidR="00D741F3" w:rsidRPr="00421EF6" w:rsidTr="001038DE">
        <w:trPr>
          <w:trHeight w:val="236"/>
          <w:jc w:val="center"/>
        </w:trPr>
        <w:tc>
          <w:tcPr>
            <w:tcW w:w="617" w:type="pct"/>
            <w:vMerge/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Halaman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</w:rPr>
              <w:t>1 dari 4</w:t>
            </w:r>
          </w:p>
        </w:tc>
      </w:tr>
      <w:tr w:rsidR="00D741F3" w:rsidRPr="00421EF6" w:rsidTr="001038DE">
        <w:trPr>
          <w:jc w:val="center"/>
        </w:trPr>
        <w:tc>
          <w:tcPr>
            <w:tcW w:w="1576" w:type="pct"/>
            <w:gridSpan w:val="2"/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Dibuat oleh:</w:t>
            </w:r>
          </w:p>
        </w:tc>
        <w:tc>
          <w:tcPr>
            <w:tcW w:w="1772" w:type="pct"/>
            <w:gridSpan w:val="2"/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Diperiksa oleh: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Disetujui oleh:</w:t>
            </w:r>
          </w:p>
        </w:tc>
      </w:tr>
      <w:tr w:rsidR="00D741F3" w:rsidRPr="00421EF6" w:rsidTr="001038DE">
        <w:trPr>
          <w:jc w:val="center"/>
        </w:trPr>
        <w:tc>
          <w:tcPr>
            <w:tcW w:w="1576" w:type="pct"/>
            <w:gridSpan w:val="2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.</w:t>
            </w:r>
          </w:p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pct"/>
            <w:gridSpan w:val="2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741F3" w:rsidRPr="00421EF6" w:rsidRDefault="00D741F3" w:rsidP="001038DE">
            <w:pPr>
              <w:tabs>
                <w:tab w:val="left" w:pos="495"/>
              </w:tabs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ab/>
            </w:r>
          </w:p>
          <w:p w:rsidR="00D741F3" w:rsidRPr="00421EF6" w:rsidRDefault="00D741F3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D741F3" w:rsidRPr="002642E8" w:rsidTr="001038DE">
        <w:trPr>
          <w:jc w:val="center"/>
        </w:trPr>
        <w:tc>
          <w:tcPr>
            <w:tcW w:w="1576" w:type="pct"/>
            <w:gridSpan w:val="2"/>
          </w:tcPr>
          <w:p w:rsidR="00D741F3" w:rsidRPr="008125F0" w:rsidRDefault="00D741F3" w:rsidP="001038D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5F0">
              <w:rPr>
                <w:rFonts w:ascii="Arial Narrow" w:hAnsi="Arial Narrow"/>
                <w:sz w:val="20"/>
                <w:szCs w:val="20"/>
              </w:rPr>
              <w:t>Ifa H. Misbach, MA, psikolog</w:t>
            </w:r>
          </w:p>
        </w:tc>
        <w:tc>
          <w:tcPr>
            <w:tcW w:w="1772" w:type="pct"/>
            <w:gridSpan w:val="2"/>
          </w:tcPr>
          <w:p w:rsidR="00D741F3" w:rsidRPr="00EF1BC8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EF1BC8">
              <w:rPr>
                <w:rFonts w:ascii="Arial Narrow" w:hAnsi="Arial Narrow" w:cs="Times New Roman"/>
                <w:sz w:val="20"/>
                <w:szCs w:val="20"/>
                <w:lang w:val="id-ID"/>
              </w:rPr>
              <w:t>Helli Ihsan, S.Ag., M.Si.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id-ID"/>
              </w:rPr>
              <w:t>Drs. H.M. Engkos Kosasih, M.Pd.</w:t>
            </w:r>
          </w:p>
        </w:tc>
      </w:tr>
      <w:tr w:rsidR="00D741F3" w:rsidRPr="00421EF6" w:rsidTr="001038DE">
        <w:trPr>
          <w:jc w:val="center"/>
        </w:trPr>
        <w:tc>
          <w:tcPr>
            <w:tcW w:w="1576" w:type="pct"/>
            <w:gridSpan w:val="2"/>
          </w:tcPr>
          <w:p w:rsidR="00D741F3" w:rsidRPr="008125F0" w:rsidRDefault="00D741F3" w:rsidP="001038D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25F0">
              <w:rPr>
                <w:rFonts w:ascii="Arial Narrow" w:hAnsi="Arial Narrow"/>
                <w:sz w:val="20"/>
                <w:szCs w:val="20"/>
              </w:rPr>
              <w:t>NIP 197507292005012001</w:t>
            </w:r>
          </w:p>
        </w:tc>
        <w:tc>
          <w:tcPr>
            <w:tcW w:w="1772" w:type="pct"/>
            <w:gridSpan w:val="2"/>
          </w:tcPr>
          <w:p w:rsidR="00D741F3" w:rsidRPr="00EF1BC8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EF1BC8">
              <w:rPr>
                <w:rFonts w:ascii="Arial Narrow" w:hAnsi="Arial Narrow" w:cs="Times New Roman"/>
                <w:sz w:val="20"/>
                <w:szCs w:val="20"/>
                <w:lang w:val="en-US"/>
              </w:rPr>
              <w:t>NIP</w:t>
            </w:r>
            <w:r w:rsidRPr="00EF1BC8">
              <w:rPr>
                <w:rFonts w:ascii="Arial Narrow" w:hAnsi="Arial Narrow" w:cs="Times New Roman"/>
                <w:sz w:val="20"/>
                <w:szCs w:val="20"/>
                <w:lang w:val="id-ID"/>
              </w:rPr>
              <w:t>. 197509122006041002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 w:cs="Times New Roman"/>
                <w:sz w:val="16"/>
                <w:lang w:val="id-ID"/>
              </w:rPr>
              <w:t xml:space="preserve"> </w:t>
            </w:r>
            <w:r w:rsidRPr="00EF1BC8">
              <w:rPr>
                <w:rFonts w:ascii="Arial Narrow" w:hAnsi="Arial Narrow" w:cs="Times New Roman"/>
                <w:sz w:val="20"/>
                <w:szCs w:val="20"/>
                <w:lang w:val="id-ID"/>
              </w:rPr>
              <w:t>196110021984031004</w:t>
            </w:r>
          </w:p>
        </w:tc>
      </w:tr>
      <w:tr w:rsidR="00D741F3" w:rsidRPr="00421EF6" w:rsidTr="001038DE">
        <w:trPr>
          <w:jc w:val="center"/>
        </w:trPr>
        <w:tc>
          <w:tcPr>
            <w:tcW w:w="1576" w:type="pct"/>
            <w:gridSpan w:val="2"/>
            <w:vAlign w:val="center"/>
          </w:tcPr>
          <w:p w:rsidR="00D741F3" w:rsidRPr="003B0619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Dosen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Pengampu Mata Kuliah</w:t>
            </w:r>
          </w:p>
        </w:tc>
        <w:tc>
          <w:tcPr>
            <w:tcW w:w="1772" w:type="pct"/>
            <w:gridSpan w:val="2"/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TPK 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>Dep. Psikologi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F3" w:rsidRPr="00421EF6" w:rsidRDefault="00D741F3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Ketua Departemen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Psikologi</w:t>
            </w:r>
          </w:p>
        </w:tc>
      </w:tr>
    </w:tbl>
    <w:p w:rsidR="00D741F3" w:rsidRDefault="00D741F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9"/>
        <w:gridCol w:w="442"/>
        <w:gridCol w:w="1851"/>
        <w:gridCol w:w="2200"/>
        <w:gridCol w:w="1072"/>
        <w:gridCol w:w="1069"/>
        <w:gridCol w:w="1092"/>
        <w:gridCol w:w="1083"/>
        <w:gridCol w:w="1888"/>
      </w:tblGrid>
      <w:tr w:rsidR="00DC2C46" w:rsidRPr="00F54544" w:rsidTr="00854510">
        <w:trPr>
          <w:trHeight w:val="538"/>
        </w:trPr>
        <w:tc>
          <w:tcPr>
            <w:tcW w:w="5000" w:type="pct"/>
            <w:gridSpan w:val="9"/>
            <w:vAlign w:val="center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lang w:val="en-US"/>
              </w:rPr>
              <w:t>RENCANA PEMBELAJARAN SEMESTER</w:t>
            </w:r>
          </w:p>
        </w:tc>
      </w:tr>
      <w:tr w:rsidR="00DC2C46" w:rsidRPr="00F54544" w:rsidTr="00854510">
        <w:tc>
          <w:tcPr>
            <w:tcW w:w="5000" w:type="pct"/>
            <w:gridSpan w:val="9"/>
          </w:tcPr>
          <w:p w:rsidR="00DC2C46" w:rsidRPr="00F54544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lang w:val="en-US"/>
              </w:rPr>
              <w:t>Identitas Matakuliah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Nama Departemen/Prodi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Psikologi 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Nama Matakuliah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C61763" w:rsidRDefault="00C61763" w:rsidP="009668E3">
            <w:pPr>
              <w:spacing w:line="276" w:lineRule="auto"/>
              <w:rPr>
                <w:rFonts w:asciiTheme="majorBidi" w:hAnsiTheme="majorBidi" w:cstheme="majorBidi"/>
                <w:sz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lang w:val="id-ID"/>
              </w:rPr>
              <w:t>Sejarah Aliran dan Perspektif Psikologi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Kode Matakuliah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C61763" w:rsidRDefault="00C61763" w:rsidP="00EA1416">
            <w:pPr>
              <w:spacing w:line="276" w:lineRule="auto"/>
              <w:rPr>
                <w:rFonts w:asciiTheme="majorBidi" w:hAnsiTheme="majorBidi" w:cstheme="majorBidi"/>
                <w:sz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lang w:val="id-ID"/>
              </w:rPr>
              <w:t>IP308</w:t>
            </w:r>
          </w:p>
        </w:tc>
      </w:tr>
      <w:tr w:rsidR="00116D8B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Kelompok Matakuliah</w:t>
            </w:r>
            <w:r w:rsidRPr="00F54544">
              <w:rPr>
                <w:rFonts w:asciiTheme="majorBidi" w:hAnsiTheme="majorBidi" w:cstheme="majorBidi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653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MKU</w:t>
            </w:r>
          </w:p>
        </w:tc>
        <w:tc>
          <w:tcPr>
            <w:tcW w:w="776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MKDP</w:t>
            </w:r>
          </w:p>
        </w:tc>
        <w:tc>
          <w:tcPr>
            <w:tcW w:w="755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MKKF</w:t>
            </w:r>
          </w:p>
        </w:tc>
        <w:tc>
          <w:tcPr>
            <w:tcW w:w="767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MKKP</w:t>
            </w:r>
          </w:p>
        </w:tc>
        <w:tc>
          <w:tcPr>
            <w:tcW w:w="666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MKK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Bobot SKS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E608D6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2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Jenjang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S1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Semester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C61763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1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Prasyarat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C61763" w:rsidP="00896D5E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-</w:t>
            </w:r>
          </w:p>
        </w:tc>
      </w:tr>
      <w:tr w:rsidR="00116D8B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Status (Wajib/Pilihan)</w:t>
            </w:r>
            <w:r w:rsidRPr="00F54544">
              <w:rPr>
                <w:rFonts w:asciiTheme="majorBidi" w:hAnsiTheme="majorBidi" w:cstheme="majorBidi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1807" w:type="pct"/>
            <w:gridSpan w:val="3"/>
          </w:tcPr>
          <w:p w:rsidR="00801B84" w:rsidRPr="00F54544" w:rsidRDefault="004076F1" w:rsidP="00DC2C4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Aktif</w:t>
            </w:r>
          </w:p>
        </w:tc>
        <w:tc>
          <w:tcPr>
            <w:tcW w:w="1810" w:type="pct"/>
            <w:gridSpan w:val="4"/>
          </w:tcPr>
          <w:p w:rsidR="00801B84" w:rsidRPr="00F54544" w:rsidRDefault="00E608D6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Pilihan</w:t>
            </w:r>
          </w:p>
        </w:tc>
      </w:tr>
      <w:tr w:rsidR="00116D8B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Nama dan Kode Dosen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2569" w:type="pct"/>
            <w:gridSpan w:val="5"/>
          </w:tcPr>
          <w:p w:rsidR="00ED71D9" w:rsidRPr="00F54544" w:rsidRDefault="00C61763" w:rsidP="009668E3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Ifa Hanifah Misbach, M.A., Psikolog.</w:t>
            </w:r>
          </w:p>
        </w:tc>
        <w:tc>
          <w:tcPr>
            <w:tcW w:w="1048" w:type="pct"/>
            <w:gridSpan w:val="2"/>
          </w:tcPr>
          <w:p w:rsidR="00ED71D9" w:rsidRPr="00F54544" w:rsidRDefault="00ED71D9" w:rsidP="009668E3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</w:tbl>
    <w:p w:rsidR="00854510" w:rsidRDefault="00854510">
      <w:pPr>
        <w:rPr>
          <w:rFonts w:asciiTheme="majorBidi" w:hAnsiTheme="majorBidi" w:cstheme="majorBidi"/>
        </w:rPr>
      </w:pPr>
    </w:p>
    <w:p w:rsidR="002642E8" w:rsidRPr="00F54544" w:rsidRDefault="002642E8">
      <w:pPr>
        <w:rPr>
          <w:rFonts w:asciiTheme="majorBidi" w:hAnsiTheme="majorBidi" w:cstheme="maj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3"/>
        <w:gridCol w:w="4548"/>
        <w:gridCol w:w="2787"/>
        <w:gridCol w:w="1987"/>
        <w:gridCol w:w="808"/>
        <w:gridCol w:w="1143"/>
        <w:gridCol w:w="1670"/>
      </w:tblGrid>
      <w:tr w:rsidR="00801B84" w:rsidRPr="00F54544" w:rsidTr="00215BAA">
        <w:tc>
          <w:tcPr>
            <w:tcW w:w="5000" w:type="pct"/>
            <w:gridSpan w:val="7"/>
          </w:tcPr>
          <w:p w:rsidR="00801B84" w:rsidRPr="00FC44D0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C44D0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lastRenderedPageBreak/>
              <w:t>Deskripsi Matakuliah</w:t>
            </w:r>
          </w:p>
          <w:p w:rsidR="00801B84" w:rsidRDefault="00C34D5D" w:rsidP="00C34D5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4D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Mata kuliah ini membahas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alasan-alasan (termasuk kebutuhan kemanusiaan) lahir dan berkembangnya psikologi</w:t>
            </w:r>
            <w:r w:rsidRPr="00FC44D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.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Memahami perkembangan asumsi yang mendasari berbagai mazhab/aliran, serta teori-teori yang utama yang berkembang dalam psikologi</w:t>
            </w:r>
            <w:r w:rsidRPr="00FC44D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.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Memahami landasan,</w:t>
            </w:r>
            <w:r w:rsidRPr="00FC44D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kekuatan dan kelemahan berbagai macam teori besar yang berkembang sampai saat ini.</w:t>
            </w:r>
            <w:r w:rsidRPr="00FC44D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Memahami asumsi dan proposisi berbagai teori utama sampai yang mutakhir, serta efektivitas dan ketidak efektivitan penggunaannya.</w:t>
            </w:r>
            <w:r w:rsidRPr="00FC44D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Terinspirasi dalam pengembangan psikologi masa depan, khususnya di Indonesia.</w:t>
            </w:r>
          </w:p>
          <w:p w:rsidR="00FC44D0" w:rsidRPr="00FC44D0" w:rsidRDefault="00FC44D0" w:rsidP="00C34D5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84" w:rsidRPr="00F54544" w:rsidTr="00215BAA">
        <w:tc>
          <w:tcPr>
            <w:tcW w:w="5000" w:type="pct"/>
            <w:gridSpan w:val="7"/>
          </w:tcPr>
          <w:p w:rsidR="00801B84" w:rsidRPr="00FC44D0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C44D0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Capaian Pembelajaran Program Studi (CPPS) – </w:t>
            </w:r>
            <w:r w:rsidRPr="00FC44D0"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FC44D0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(PLO)</w:t>
            </w:r>
          </w:p>
          <w:p w:rsidR="00FC44D0" w:rsidRPr="00FC44D0" w:rsidRDefault="00B2334F" w:rsidP="00FC44D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 xml:space="preserve">Mampu memahami inti atau </w:t>
            </w:r>
            <w:r w:rsidRPr="00FC44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ruh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 xml:space="preserve">psikologi, mengapa psikologi lahir, mengapa tidak hanya ada satu </w:t>
            </w:r>
            <w:r w:rsidRPr="00FC44D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aliran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psikologi, dan bagaimana peluang perkembangan psikologi di kemudian hari.</w:t>
            </w:r>
          </w:p>
        </w:tc>
      </w:tr>
      <w:tr w:rsidR="004F5193" w:rsidRPr="00F54544" w:rsidTr="00215BAA">
        <w:tc>
          <w:tcPr>
            <w:tcW w:w="5000" w:type="pct"/>
            <w:gridSpan w:val="7"/>
          </w:tcPr>
          <w:p w:rsidR="00650673" w:rsidRPr="00FC44D0" w:rsidRDefault="004F5193" w:rsidP="00FC44D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US"/>
              </w:rPr>
            </w:pPr>
            <w:r w:rsidRPr="00FC44D0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US"/>
              </w:rPr>
              <w:t xml:space="preserve">Capaian Pembelajaran Matakuliah (CPM) – </w:t>
            </w:r>
            <w:r w:rsidRPr="00FC44D0"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  <w:lang w:val="en-US"/>
              </w:rPr>
              <w:t>Course Learning Outcome</w:t>
            </w:r>
            <w:r w:rsidRPr="00FC44D0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US"/>
              </w:rPr>
              <w:t xml:space="preserve"> (CLO)</w:t>
            </w:r>
          </w:p>
          <w:p w:rsidR="004F5193" w:rsidRPr="00650673" w:rsidRDefault="00DF778A" w:rsidP="00650673">
            <w:pPr>
              <w:pStyle w:val="ListParagraph"/>
              <w:ind w:left="311"/>
              <w:jc w:val="both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  <w:lang w:val="en-US"/>
              </w:rPr>
            </w:pPr>
            <w:r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id-ID"/>
              </w:rPr>
              <w:t xml:space="preserve">Capaian pembelajaran yang ingin dicapai dalam perkuliahan ini adalah mahasiswa </w:t>
            </w:r>
            <w:r w:rsidR="009668E3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mampu </w:t>
            </w:r>
            <w:r w:rsidR="00163AD7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id-ID"/>
              </w:rPr>
              <w:t>mengkaji sejarah psikologi, perkembangan psikologi serta mengkaji aliran dan perspektif-perspektif psikologi</w:t>
            </w:r>
            <w:r w:rsidR="00E608D6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id-ID"/>
              </w:rPr>
              <w:t xml:space="preserve">: 1) memahami </w:t>
            </w:r>
            <w:r w:rsidR="00163AD7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id-ID"/>
              </w:rPr>
              <w:t>sejarah lahirnya psikologi</w:t>
            </w:r>
            <w:r w:rsidR="00E608D6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2)</w:t>
            </w:r>
            <w:r w:rsidR="00163AD7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id-ID"/>
              </w:rPr>
              <w:t xml:space="preserve"> memahami perkembangan psikologi sebagai ilmu</w:t>
            </w:r>
            <w:r w:rsidR="00E608D6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848B0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3</w:t>
            </w:r>
            <w:r w:rsidR="00163AD7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id-ID"/>
              </w:rPr>
              <w:t xml:space="preserve">) memahami konsep dasar setiap aliran dan perspektif psikologi 4) mampu </w:t>
            </w:r>
            <w:r w:rsidR="00650673" w:rsidRPr="00FC44D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id-ID"/>
              </w:rPr>
              <w:t>mengemukakan ide dan pemahaman terkait sejarah, aliran dan perspektif psikologi.</w:t>
            </w:r>
          </w:p>
        </w:tc>
      </w:tr>
      <w:tr w:rsidR="004F5193" w:rsidRPr="00F54544" w:rsidTr="00215BAA">
        <w:tc>
          <w:tcPr>
            <w:tcW w:w="5000" w:type="pct"/>
            <w:gridSpan w:val="7"/>
          </w:tcPr>
          <w:p w:rsidR="004F5193" w:rsidRPr="00F54544" w:rsidRDefault="004F5193" w:rsidP="00D91BC7">
            <w:p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4F5193" w:rsidRPr="00FC44D0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C44D0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Deskripsi Rencana Pembelajaran</w:t>
            </w:r>
          </w:p>
          <w:p w:rsidR="00FC44D0" w:rsidRPr="00FC44D0" w:rsidRDefault="004F5193" w:rsidP="00FC44D0">
            <w:pPr>
              <w:ind w:left="311"/>
              <w:jc w:val="both"/>
              <w:rPr>
                <w:rFonts w:asciiTheme="majorBidi" w:hAnsiTheme="majorBidi" w:cstheme="majorBidi"/>
                <w:lang w:val="en-US"/>
              </w:rPr>
            </w:pPr>
            <w:r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Jumlah pertemuan </w:t>
            </w:r>
            <w:r w:rsidR="004848B0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adalah </w:t>
            </w:r>
            <w:r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16 </w:t>
            </w:r>
            <w:r w:rsidR="000A111C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pertemuan. Dalam pembelajaran ini, mahasiswa akan disajikan </w:t>
            </w:r>
            <w:r w:rsidR="004848B0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dengan </w:t>
            </w:r>
            <w:r w:rsidR="000A111C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metode </w:t>
            </w:r>
            <w:r w:rsidR="00FF14EC" w:rsidRPr="00FC44D0">
              <w:rPr>
                <w:rFonts w:asciiTheme="majorBidi" w:hAnsiTheme="majorBidi" w:cstheme="majorBidi"/>
                <w:i/>
                <w:sz w:val="20"/>
                <w:szCs w:val="20"/>
                <w:lang w:val="id-ID"/>
              </w:rPr>
              <w:t xml:space="preserve">interactive learning, video tutorial, </w:t>
            </w:r>
            <w:r w:rsidR="00FF14EC" w:rsidRPr="00FC44D0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dan </w:t>
            </w:r>
            <w:r w:rsidR="00FF14EC" w:rsidRPr="00FC44D0">
              <w:rPr>
                <w:rFonts w:asciiTheme="majorBidi" w:hAnsiTheme="majorBidi" w:cstheme="majorBidi"/>
                <w:i/>
                <w:sz w:val="20"/>
                <w:szCs w:val="20"/>
                <w:lang w:val="id-ID"/>
              </w:rPr>
              <w:t>lecturing</w:t>
            </w:r>
            <w:r w:rsidR="000A111C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  <w:r w:rsidR="00FF14EC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Mahasi</w:t>
            </w:r>
            <w:r w:rsidR="004848B0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swa diminta </w:t>
            </w:r>
            <w:r w:rsidR="00FF14EC" w:rsidRPr="00FC44D0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untuk mengkaji dan </w:t>
            </w:r>
            <w:r w:rsidR="004848B0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</w:t>
            </w:r>
            <w:r w:rsidR="00FF14EC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epresentasikan </w:t>
            </w:r>
            <w:r w:rsidR="00FF14EC" w:rsidRPr="00FC44D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mengenai sejarah psikologi, perkembangan psikologi, aliran serta perspektif psikologi</w:t>
            </w:r>
            <w:r w:rsidR="004848B0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  <w:r w:rsidR="000A111C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Evaluasi pembelajaran </w:t>
            </w:r>
            <w:r w:rsidR="004848B0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berupa </w:t>
            </w:r>
            <w:r w:rsidR="00163AD7" w:rsidRPr="00FC44D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produk dalam bentuk tugas makalah, partisipasi di kelas, dan kontribusi di dalam kegiatan kelompok</w:t>
            </w:r>
            <w:r w:rsidR="004848B0" w:rsidRPr="00FC44D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 Selain itu juga akan dilakukan ujian tengah semester dan akhir semester.</w:t>
            </w:r>
            <w:r w:rsidR="00027682" w:rsidRPr="00FC44D0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B35F43" w:rsidRPr="00F54544" w:rsidTr="00B9017A">
        <w:tc>
          <w:tcPr>
            <w:tcW w:w="435" w:type="pct"/>
            <w:vAlign w:val="center"/>
          </w:tcPr>
          <w:p w:rsidR="00116D8B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Pertemuan </w:t>
            </w:r>
          </w:p>
          <w:p w:rsidR="004F5193" w:rsidRPr="00F54544" w:rsidRDefault="00F5655B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K</w:t>
            </w:r>
            <w:r w:rsidR="009F056E"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604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Indikator Capaian Pembelajaran Matakuliah</w:t>
            </w:r>
          </w:p>
        </w:tc>
        <w:tc>
          <w:tcPr>
            <w:tcW w:w="983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Bahan Kajian</w:t>
            </w:r>
          </w:p>
        </w:tc>
        <w:tc>
          <w:tcPr>
            <w:tcW w:w="701" w:type="pct"/>
            <w:vAlign w:val="center"/>
          </w:tcPr>
          <w:p w:rsidR="00215BAA" w:rsidRPr="00F54544" w:rsidRDefault="00F54544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Bentuk</w:t>
            </w:r>
          </w:p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</w:p>
        </w:tc>
        <w:tc>
          <w:tcPr>
            <w:tcW w:w="285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Waktu</w:t>
            </w:r>
          </w:p>
        </w:tc>
        <w:tc>
          <w:tcPr>
            <w:tcW w:w="403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Tugas dan Penilaian</w:t>
            </w:r>
          </w:p>
        </w:tc>
        <w:tc>
          <w:tcPr>
            <w:tcW w:w="589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Rujukan</w:t>
            </w:r>
          </w:p>
        </w:tc>
      </w:tr>
      <w:tr w:rsidR="00B35F43" w:rsidRPr="00F54544" w:rsidTr="00B9017A">
        <w:tc>
          <w:tcPr>
            <w:tcW w:w="435" w:type="pct"/>
          </w:tcPr>
          <w:p w:rsidR="008F5D12" w:rsidRPr="00F54544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8F5D12" w:rsidRPr="00F54544" w:rsidRDefault="008F5D12" w:rsidP="00AA26E9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Mahasiswa memahami tujuan, arah, dan target </w:t>
            </w:r>
            <w:r w:rsidRPr="00F54544"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  <w:t>perkuliahan</w:t>
            </w:r>
            <w:r w:rsidR="00AA26E9">
              <w:rPr>
                <w:rFonts w:asciiTheme="majorBidi" w:hAnsiTheme="majorBidi" w:cstheme="majorBidi"/>
                <w:sz w:val="20"/>
                <w:szCs w:val="20"/>
              </w:rPr>
              <w:t>, m</w:t>
            </w:r>
            <w:r w:rsidRPr="00F54544">
              <w:rPr>
                <w:rFonts w:asciiTheme="majorBidi" w:hAnsiTheme="majorBidi" w:cstheme="majorBidi"/>
                <w:sz w:val="20"/>
                <w:szCs w:val="20"/>
              </w:rPr>
              <w:t>engetahui sumber</w:t>
            </w:r>
            <w:r w:rsidR="00AA26E9">
              <w:rPr>
                <w:rFonts w:asciiTheme="majorBidi" w:hAnsiTheme="majorBidi" w:cstheme="majorBidi"/>
                <w:sz w:val="20"/>
                <w:szCs w:val="20"/>
              </w:rPr>
              <w:t xml:space="preserve">-sumber belajar yang digunakan, </w:t>
            </w:r>
            <w:r w:rsidRPr="00F54544">
              <w:rPr>
                <w:rFonts w:asciiTheme="majorBidi" w:hAnsiTheme="majorBidi" w:cstheme="majorBidi"/>
                <w:sz w:val="20"/>
                <w:szCs w:val="20"/>
              </w:rPr>
              <w:t>topik-topik yang akan dipelajari dan mengetahui tug</w:t>
            </w:r>
            <w:r w:rsidR="00620722">
              <w:rPr>
                <w:rFonts w:asciiTheme="majorBidi" w:hAnsiTheme="majorBidi" w:cstheme="majorBidi"/>
                <w:sz w:val="20"/>
                <w:szCs w:val="20"/>
              </w:rPr>
              <w:t>as-tugas yang harus dikerjakan.</w:t>
            </w:r>
          </w:p>
        </w:tc>
        <w:tc>
          <w:tcPr>
            <w:tcW w:w="983" w:type="pct"/>
          </w:tcPr>
          <w:p w:rsid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Pengantar perkuliahan</w:t>
            </w:r>
          </w:p>
          <w:p w:rsidR="008F5D12" w:rsidRP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Peraturan perkuliahan</w:t>
            </w:r>
          </w:p>
        </w:tc>
        <w:tc>
          <w:tcPr>
            <w:tcW w:w="701" w:type="pct"/>
          </w:tcPr>
          <w:p w:rsidR="008F5D12" w:rsidRPr="00F54544" w:rsidRDefault="008F5D12" w:rsidP="008F5D12">
            <w:pPr>
              <w:spacing w:before="80" w:after="80"/>
              <w:rPr>
                <w:rFonts w:asciiTheme="majorBidi" w:hAnsiTheme="majorBidi" w:cstheme="majorBidi"/>
                <w:sz w:val="20"/>
                <w:szCs w:val="20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</w:rPr>
              <w:t>Dosen dan mahasiswa menetapkan kesepakatan PBM.</w:t>
            </w:r>
          </w:p>
        </w:tc>
        <w:tc>
          <w:tcPr>
            <w:tcW w:w="285" w:type="pct"/>
          </w:tcPr>
          <w:p w:rsidR="008F5D12" w:rsidRPr="00F54544" w:rsidRDefault="00116D8B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8F5D12" w:rsidRPr="00F54544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--</w:t>
            </w:r>
          </w:p>
        </w:tc>
        <w:tc>
          <w:tcPr>
            <w:tcW w:w="589" w:type="pct"/>
          </w:tcPr>
          <w:p w:rsidR="008F5D12" w:rsidRPr="00F54544" w:rsidRDefault="00A559CE" w:rsidP="00A559C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Pedoman penyelenggaraan pendidikan UPI</w:t>
            </w:r>
          </w:p>
        </w:tc>
      </w:tr>
      <w:tr w:rsidR="00027682" w:rsidRPr="00F54544" w:rsidTr="00B9017A">
        <w:tc>
          <w:tcPr>
            <w:tcW w:w="435" w:type="pct"/>
          </w:tcPr>
          <w:p w:rsidR="00027682" w:rsidRPr="00F54544" w:rsidRDefault="00027682" w:rsidP="000276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027682" w:rsidRPr="00600D7E" w:rsidRDefault="00600D7E" w:rsidP="00600D7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00D7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Mahasiswa dapat </w:t>
            </w:r>
            <w:r w:rsidRPr="00600D7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A26E9" w:rsidRPr="00600D7E">
              <w:rPr>
                <w:rFonts w:ascii="Times New Roman" w:hAnsi="Times New Roman" w:cs="Times New Roman"/>
                <w:sz w:val="20"/>
                <w:szCs w:val="20"/>
              </w:rPr>
              <w:t>emahami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manfaat mempelajari sejarah psikologi serta mengkaji</w:t>
            </w:r>
            <w:r w:rsidR="00AA26E9" w:rsidRPr="00600D7E">
              <w:rPr>
                <w:rFonts w:ascii="Times New Roman" w:hAnsi="Times New Roman" w:cs="Times New Roman"/>
                <w:sz w:val="20"/>
                <w:szCs w:val="20"/>
              </w:rPr>
              <w:t xml:space="preserve"> pengertian dan berbagai definisi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ilmu pengetahuan.</w:t>
            </w:r>
          </w:p>
        </w:tc>
        <w:tc>
          <w:tcPr>
            <w:tcW w:w="983" w:type="pct"/>
          </w:tcPr>
          <w:p w:rsidR="00027682" w:rsidRPr="00600D7E" w:rsidRDefault="00600D7E" w:rsidP="00027682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Sejarah. Ilmu. </w:t>
            </w:r>
          </w:p>
        </w:tc>
        <w:tc>
          <w:tcPr>
            <w:tcW w:w="701" w:type="pct"/>
          </w:tcPr>
          <w:p w:rsidR="00027682" w:rsidRPr="00AA26E9" w:rsidRDefault="00AA26E9" w:rsidP="0002768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027682" w:rsidRPr="00F54544" w:rsidRDefault="00027682" w:rsidP="00027682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027682" w:rsidRPr="00474AC7" w:rsidRDefault="00474AC7" w:rsidP="00A559C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--</w:t>
            </w:r>
          </w:p>
        </w:tc>
        <w:tc>
          <w:tcPr>
            <w:tcW w:w="589" w:type="pct"/>
          </w:tcPr>
          <w:p w:rsidR="00027682" w:rsidRPr="00AA26E9" w:rsidRDefault="00AA26E9" w:rsidP="00027682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</w:t>
            </w:r>
            <w:r w:rsidR="00600D7E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1-7</w:t>
            </w:r>
          </w:p>
        </w:tc>
      </w:tr>
      <w:tr w:rsidR="00096D3A" w:rsidRPr="00F54544" w:rsidTr="00B9017A">
        <w:tc>
          <w:tcPr>
            <w:tcW w:w="435" w:type="pct"/>
          </w:tcPr>
          <w:p w:rsidR="00096D3A" w:rsidRPr="00F54544" w:rsidRDefault="00096D3A" w:rsidP="00096D3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096D3A" w:rsidRPr="00600D7E" w:rsidRDefault="00600D7E" w:rsidP="00600D7E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Mahasiswa dapat menganalisis berbagai sudut pandang tradisional mengenai ilmu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pengetahuan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memahami psikologi sebagai ilmu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pengetahuan.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</w:tcPr>
          <w:p w:rsidR="00096D3A" w:rsidRPr="00956787" w:rsidRDefault="00956787" w:rsidP="00096D3A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Sudut pandang tradisional ilmu pengetahuan. Psikologi sebagai ilmu pengetahuan.</w:t>
            </w:r>
          </w:p>
        </w:tc>
        <w:tc>
          <w:tcPr>
            <w:tcW w:w="701" w:type="pct"/>
          </w:tcPr>
          <w:p w:rsidR="00096D3A" w:rsidRPr="00AA26E9" w:rsidRDefault="00096D3A" w:rsidP="00096D3A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096D3A" w:rsidRPr="00F54544" w:rsidRDefault="00096D3A" w:rsidP="00096D3A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096D3A" w:rsidRPr="00FC44D0" w:rsidRDefault="00FC44D0" w:rsidP="00096D3A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Laporan diskusi kelompok.</w:t>
            </w:r>
          </w:p>
        </w:tc>
        <w:tc>
          <w:tcPr>
            <w:tcW w:w="589" w:type="pct"/>
          </w:tcPr>
          <w:p w:rsidR="00096D3A" w:rsidRPr="00AA26E9" w:rsidRDefault="00096D3A" w:rsidP="00096D3A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</w:t>
            </w:r>
            <w:r w:rsidR="00956787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7-12</w:t>
            </w:r>
          </w:p>
        </w:tc>
      </w:tr>
      <w:tr w:rsidR="00FC44D0" w:rsidRPr="00F54544" w:rsidTr="00B9017A">
        <w:tc>
          <w:tcPr>
            <w:tcW w:w="435" w:type="pct"/>
          </w:tcPr>
          <w:p w:rsidR="00FC44D0" w:rsidRPr="00F54544" w:rsidRDefault="00FC44D0" w:rsidP="00FC44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FC44D0" w:rsidRPr="00FC44D0" w:rsidRDefault="00600D7E" w:rsidP="00600D7E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Mahasiswa mampu memahami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44D0" w:rsidRPr="00FC44D0">
              <w:rPr>
                <w:rFonts w:ascii="Times New Roman" w:hAnsi="Times New Roman" w:cs="Times New Roman"/>
                <w:sz w:val="20"/>
                <w:szCs w:val="20"/>
              </w:rPr>
              <w:t>sikologi di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 Yunani Kuno dan p</w:t>
            </w:r>
            <w:r w:rsidR="00FC44D0" w:rsidRPr="00FC44D0">
              <w:rPr>
                <w:rFonts w:ascii="Times New Roman" w:hAnsi="Times New Roman" w:cs="Times New Roman"/>
                <w:sz w:val="20"/>
                <w:szCs w:val="20"/>
              </w:rPr>
              <w:t xml:space="preserve">sikologi abad tengah. </w:t>
            </w:r>
          </w:p>
        </w:tc>
        <w:tc>
          <w:tcPr>
            <w:tcW w:w="983" w:type="pct"/>
          </w:tcPr>
          <w:p w:rsidR="00FC44D0" w:rsidRPr="00600D7E" w:rsidRDefault="00600D7E" w:rsidP="00FC44D0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Psikologi abad Yunani Kuno dan abad tengah.</w:t>
            </w:r>
          </w:p>
        </w:tc>
        <w:tc>
          <w:tcPr>
            <w:tcW w:w="701" w:type="pct"/>
          </w:tcPr>
          <w:p w:rsidR="00FC44D0" w:rsidRPr="00AA26E9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FC44D0" w:rsidRPr="00F54544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FC44D0" w:rsidRPr="00FC44D0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Laporan diskusi kelompok.</w:t>
            </w:r>
          </w:p>
        </w:tc>
        <w:tc>
          <w:tcPr>
            <w:tcW w:w="589" w:type="pct"/>
          </w:tcPr>
          <w:p w:rsidR="00FC44D0" w:rsidRPr="00AA26E9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</w:t>
            </w:r>
            <w:r w:rsidR="00600D7E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26-38</w:t>
            </w:r>
          </w:p>
        </w:tc>
      </w:tr>
      <w:tr w:rsidR="00FC44D0" w:rsidRPr="00F54544" w:rsidTr="00B9017A">
        <w:tc>
          <w:tcPr>
            <w:tcW w:w="435" w:type="pct"/>
          </w:tcPr>
          <w:p w:rsidR="00FC44D0" w:rsidRPr="00F54544" w:rsidRDefault="00FC44D0" w:rsidP="00FC44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FC44D0" w:rsidRDefault="00FC44D0" w:rsidP="00FC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Mahasiswa mampu menganalisi dan mengkaji gagasan dan ide dari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Socrates, Plato dan Aristoteles, dan Filosof lain.</w:t>
            </w:r>
          </w:p>
          <w:p w:rsidR="00956787" w:rsidRPr="00FC44D0" w:rsidRDefault="00956787" w:rsidP="00FC44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83" w:type="pct"/>
          </w:tcPr>
          <w:p w:rsidR="00FC44D0" w:rsidRPr="00FC44D0" w:rsidRDefault="00FC44D0" w:rsidP="00FC44D0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Socrates, Plato, Aristoteles, dll.</w:t>
            </w:r>
          </w:p>
        </w:tc>
        <w:tc>
          <w:tcPr>
            <w:tcW w:w="701" w:type="pct"/>
          </w:tcPr>
          <w:p w:rsidR="00FC44D0" w:rsidRPr="00AA26E9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FC44D0" w:rsidRPr="00F54544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FC44D0" w:rsidRPr="00FC44D0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Laporan diskusi kelompok.</w:t>
            </w:r>
          </w:p>
        </w:tc>
        <w:tc>
          <w:tcPr>
            <w:tcW w:w="589" w:type="pct"/>
          </w:tcPr>
          <w:p w:rsidR="00FC44D0" w:rsidRPr="00AA26E9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Hergenhahn, B.R. (2005) halaman: </w:t>
            </w:r>
            <w:r w:rsidR="00600D7E">
              <w:rPr>
                <w:rFonts w:asciiTheme="majorBidi" w:hAnsiTheme="majorBidi" w:cstheme="majorBidi"/>
                <w:sz w:val="20"/>
                <w:szCs w:val="20"/>
                <w:lang w:val="id-ID"/>
              </w:rPr>
              <w:t>39-51</w:t>
            </w:r>
          </w:p>
        </w:tc>
      </w:tr>
      <w:tr w:rsidR="00FC44D0" w:rsidRPr="00F54544" w:rsidTr="00B9017A">
        <w:tc>
          <w:tcPr>
            <w:tcW w:w="435" w:type="pct"/>
          </w:tcPr>
          <w:p w:rsidR="00FC44D0" w:rsidRPr="00F54544" w:rsidRDefault="00FC44D0" w:rsidP="00FC44D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FC44D0" w:rsidRDefault="00FC44D0" w:rsidP="00FC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4D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Mahasiswa mampu mengkaji dan menganalisis </w:t>
            </w:r>
            <w:r w:rsidRPr="00FC44D0">
              <w:rPr>
                <w:rFonts w:ascii="Times New Roman" w:hAnsi="Times New Roman" w:cs="Times New Roman"/>
                <w:sz w:val="20"/>
                <w:szCs w:val="20"/>
              </w:rPr>
              <w:t>faktor filsafat dan ilmiah yang mendahului psikologi: Psikologi Renaisans dan post Renaisans.</w:t>
            </w:r>
          </w:p>
          <w:p w:rsidR="00956787" w:rsidRPr="00FC44D0" w:rsidRDefault="00956787" w:rsidP="00FC44D0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983" w:type="pct"/>
          </w:tcPr>
          <w:p w:rsidR="00FC44D0" w:rsidRPr="00FC44D0" w:rsidRDefault="00FC44D0" w:rsidP="00FC44D0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Modern  Science dan Philosophy</w:t>
            </w:r>
          </w:p>
        </w:tc>
        <w:tc>
          <w:tcPr>
            <w:tcW w:w="701" w:type="pct"/>
          </w:tcPr>
          <w:p w:rsidR="00FC44D0" w:rsidRPr="00AA26E9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FC44D0" w:rsidRPr="00F54544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FC44D0" w:rsidRPr="00FC44D0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Laporan diskusi kelompok.</w:t>
            </w:r>
          </w:p>
        </w:tc>
        <w:tc>
          <w:tcPr>
            <w:tcW w:w="589" w:type="pct"/>
          </w:tcPr>
          <w:p w:rsidR="00FC44D0" w:rsidRPr="00AA26E9" w:rsidRDefault="00FC44D0" w:rsidP="00FC44D0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 89-114</w:t>
            </w:r>
          </w:p>
        </w:tc>
      </w:tr>
      <w:tr w:rsidR="00651F27" w:rsidRPr="00F54544" w:rsidTr="00B9017A">
        <w:tc>
          <w:tcPr>
            <w:tcW w:w="435" w:type="pct"/>
          </w:tcPr>
          <w:p w:rsidR="00651F27" w:rsidRPr="00F54544" w:rsidRDefault="00651F27" w:rsidP="00651F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651F27" w:rsidRPr="00096D3A" w:rsidRDefault="00FC44D0" w:rsidP="00096D3A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Ma</w:t>
            </w:r>
            <w:r w:rsidR="00651F27">
              <w:rPr>
                <w:rFonts w:asciiTheme="majorBidi" w:hAnsiTheme="majorBidi" w:cstheme="majorBidi"/>
              </w:rPr>
              <w:t xml:space="preserve">hasiswa mampu </w:t>
            </w:r>
            <w:r w:rsidR="00096D3A">
              <w:rPr>
                <w:rFonts w:asciiTheme="majorBidi" w:hAnsiTheme="majorBidi" w:cstheme="majorBidi"/>
                <w:lang w:val="id-ID"/>
              </w:rPr>
              <w:t>mengkaji perbedaan empiricism, sensationalism, positivism, serta rationalism.</w:t>
            </w:r>
          </w:p>
        </w:tc>
        <w:tc>
          <w:tcPr>
            <w:tcW w:w="983" w:type="pct"/>
          </w:tcPr>
          <w:p w:rsidR="00651F27" w:rsidRPr="00474AC7" w:rsidRDefault="00474AC7" w:rsidP="00651F27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Empiricism, sensationalism, positivism, dan rationalism.</w:t>
            </w:r>
          </w:p>
        </w:tc>
        <w:tc>
          <w:tcPr>
            <w:tcW w:w="701" w:type="pct"/>
          </w:tcPr>
          <w:p w:rsidR="00651F27" w:rsidRPr="00AA26E9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651F27" w:rsidRPr="00F54544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651F27" w:rsidRPr="00474AC7" w:rsidRDefault="00474AC7" w:rsidP="00651F2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Makalah kelompok</w:t>
            </w:r>
          </w:p>
        </w:tc>
        <w:tc>
          <w:tcPr>
            <w:tcW w:w="589" w:type="pct"/>
          </w:tcPr>
          <w:p w:rsidR="00651F27" w:rsidRPr="00AA26E9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</w:t>
            </w:r>
            <w:r w:rsidR="00474AC7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117-181</w:t>
            </w:r>
          </w:p>
        </w:tc>
      </w:tr>
      <w:tr w:rsidR="00474AC7" w:rsidRPr="00F54544" w:rsidTr="00B9017A">
        <w:tc>
          <w:tcPr>
            <w:tcW w:w="435" w:type="pct"/>
          </w:tcPr>
          <w:p w:rsidR="00474AC7" w:rsidRPr="00F54544" w:rsidRDefault="00474AC7" w:rsidP="00474AC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474AC7" w:rsidRPr="00474AC7" w:rsidRDefault="00FC44D0" w:rsidP="00474AC7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Ma</w:t>
            </w:r>
            <w:r w:rsidR="00474AC7">
              <w:rPr>
                <w:rFonts w:asciiTheme="majorBidi" w:hAnsiTheme="majorBidi" w:cstheme="majorBidi"/>
              </w:rPr>
              <w:t xml:space="preserve">hasiswa mampu </w:t>
            </w:r>
            <w:r w:rsidR="00474AC7">
              <w:rPr>
                <w:rFonts w:asciiTheme="majorBidi" w:hAnsiTheme="majorBidi" w:cstheme="majorBidi"/>
                <w:lang w:val="id-ID"/>
              </w:rPr>
              <w:t>mengkaji dan mengungkapkan ide serta pemahaman mengenai romanticism dan existentialism serta perkembangan awal dalam fisiologi dan perkembangan psikologi eksperimen.</w:t>
            </w:r>
          </w:p>
        </w:tc>
        <w:tc>
          <w:tcPr>
            <w:tcW w:w="983" w:type="pct"/>
          </w:tcPr>
          <w:p w:rsidR="00474AC7" w:rsidRPr="00474AC7" w:rsidRDefault="00474AC7" w:rsidP="00474AC7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Romanticism dan Exixtentialism. Early Developments in Physiology and the Rise of Experimental Psychology.</w:t>
            </w:r>
          </w:p>
        </w:tc>
        <w:tc>
          <w:tcPr>
            <w:tcW w:w="701" w:type="pct"/>
          </w:tcPr>
          <w:p w:rsidR="00474AC7" w:rsidRPr="00AA26E9" w:rsidRDefault="00474AC7" w:rsidP="00474AC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474AC7" w:rsidRPr="00F54544" w:rsidRDefault="00474AC7" w:rsidP="00474AC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474AC7" w:rsidRPr="00474AC7" w:rsidRDefault="00474AC7" w:rsidP="00474AC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Makalah kelompok</w:t>
            </w:r>
          </w:p>
        </w:tc>
        <w:tc>
          <w:tcPr>
            <w:tcW w:w="589" w:type="pct"/>
          </w:tcPr>
          <w:p w:rsidR="00474AC7" w:rsidRPr="00AA26E9" w:rsidRDefault="00474AC7" w:rsidP="00474AC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 189-237</w:t>
            </w:r>
          </w:p>
        </w:tc>
      </w:tr>
      <w:tr w:rsidR="00651F27" w:rsidRPr="00F54544" w:rsidTr="00B9017A">
        <w:tc>
          <w:tcPr>
            <w:tcW w:w="435" w:type="pct"/>
          </w:tcPr>
          <w:p w:rsidR="00651F27" w:rsidRPr="00F54544" w:rsidRDefault="00651F27" w:rsidP="00651F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651F27" w:rsidRDefault="00651F27" w:rsidP="00474AC7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Mahasiswa mampu </w:t>
            </w:r>
            <w:r w:rsidR="00474AC7">
              <w:rPr>
                <w:rFonts w:asciiTheme="majorBidi" w:hAnsiTheme="majorBidi" w:cstheme="majorBidi"/>
                <w:lang w:val="id-ID"/>
              </w:rPr>
              <w:t>mengemukakan ide, pemahaman, dan gagasan</w:t>
            </w:r>
            <w:r w:rsidR="004D6C89">
              <w:rPr>
                <w:rFonts w:asciiTheme="majorBidi" w:hAnsiTheme="majorBidi" w:cstheme="majorBidi"/>
                <w:lang w:val="id-ID"/>
              </w:rPr>
              <w:t xml:space="preserve"> terkait sejarah lahirnya psikologi serta aliran dan perpektif psikologi</w:t>
            </w:r>
            <w:r>
              <w:rPr>
                <w:rFonts w:asciiTheme="majorBidi" w:hAnsiTheme="majorBidi" w:cstheme="majorBidi"/>
              </w:rPr>
              <w:t>.</w:t>
            </w:r>
            <w:r w:rsidR="004D6C89">
              <w:rPr>
                <w:rFonts w:asciiTheme="majorBidi" w:hAnsiTheme="majorBidi" w:cstheme="majorBidi"/>
                <w:lang w:val="id-ID"/>
              </w:rPr>
              <w:t xml:space="preserve"> Menganalisis perbedaan dari setiap aliran dan perspektif.</w:t>
            </w:r>
          </w:p>
          <w:p w:rsidR="00956787" w:rsidRPr="00956787" w:rsidRDefault="00956787" w:rsidP="00956787">
            <w:pPr>
              <w:rPr>
                <w:lang w:val="id-ID" w:eastAsia="en-GB"/>
              </w:rPr>
            </w:pPr>
          </w:p>
        </w:tc>
        <w:tc>
          <w:tcPr>
            <w:tcW w:w="983" w:type="pct"/>
          </w:tcPr>
          <w:p w:rsidR="00651F27" w:rsidRPr="00F54544" w:rsidRDefault="00651F27" w:rsidP="00651F27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Ujian Tengah Semester (UTS)</w:t>
            </w:r>
          </w:p>
        </w:tc>
        <w:tc>
          <w:tcPr>
            <w:tcW w:w="701" w:type="pct"/>
          </w:tcPr>
          <w:p w:rsidR="00651F27" w:rsidRPr="00AA26E9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651F27" w:rsidRPr="00F54544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651F27" w:rsidRPr="00F54544" w:rsidRDefault="004D6C89" w:rsidP="00651F2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Soal-soal analisis berdasar pada buku.</w:t>
            </w:r>
          </w:p>
        </w:tc>
        <w:tc>
          <w:tcPr>
            <w:tcW w:w="589" w:type="pct"/>
          </w:tcPr>
          <w:p w:rsidR="00651F27" w:rsidRPr="00AA26E9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</w:t>
            </w:r>
            <w:r w:rsidR="004D6C89">
              <w:rPr>
                <w:rFonts w:asciiTheme="majorBidi" w:hAnsiTheme="majorBidi" w:cstheme="majorBidi"/>
                <w:sz w:val="20"/>
                <w:szCs w:val="20"/>
                <w:lang w:val="id-ID"/>
              </w:rPr>
              <w:t>.</w:t>
            </w:r>
          </w:p>
        </w:tc>
      </w:tr>
      <w:tr w:rsidR="00651F27" w:rsidRPr="00F54544" w:rsidTr="00B9017A">
        <w:tc>
          <w:tcPr>
            <w:tcW w:w="435" w:type="pct"/>
          </w:tcPr>
          <w:p w:rsidR="00651F27" w:rsidRPr="00F54544" w:rsidRDefault="00651F27" w:rsidP="00651F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651F27" w:rsidRPr="007147F0" w:rsidRDefault="00651F27" w:rsidP="00651F27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M</w:t>
            </w:r>
            <w:r w:rsidR="00DE095E">
              <w:rPr>
                <w:rFonts w:asciiTheme="majorBidi" w:hAnsiTheme="majorBidi" w:cstheme="majorBidi"/>
              </w:rPr>
              <w:t>a</w:t>
            </w:r>
            <w:r w:rsidR="004D4BB4">
              <w:rPr>
                <w:rFonts w:asciiTheme="majorBidi" w:hAnsiTheme="majorBidi" w:cstheme="majorBidi"/>
              </w:rPr>
              <w:t>hasiswa mampu mengkaji dan menganalisis perbedaan voluntarism, structuralism, dan pendekatan awal psikologi lainnya.</w:t>
            </w:r>
            <w:r w:rsidR="007147F0">
              <w:rPr>
                <w:rFonts w:asciiTheme="majorBidi" w:hAnsiTheme="majorBidi" w:cstheme="majorBidi"/>
                <w:lang w:val="id-ID"/>
              </w:rPr>
              <w:t xml:space="preserve"> Mengkaji pengaruh Darwinian dan perkembangan mental testing.</w:t>
            </w:r>
          </w:p>
        </w:tc>
        <w:tc>
          <w:tcPr>
            <w:tcW w:w="983" w:type="pct"/>
          </w:tcPr>
          <w:p w:rsidR="00651F27" w:rsidRPr="004D4BB4" w:rsidRDefault="004D4BB4" w:rsidP="00651F27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Voluntarism, structuralism, dan Early Approaches to Psychology</w:t>
            </w:r>
            <w:r w:rsidR="007147F0">
              <w:rPr>
                <w:rFonts w:asciiTheme="majorBidi" w:hAnsiTheme="majorBidi" w:cstheme="majorBidi"/>
                <w:lang w:val="id-ID"/>
              </w:rPr>
              <w:t>. The Darwinian Influence and the Rise of Mental Testing.</w:t>
            </w:r>
          </w:p>
        </w:tc>
        <w:tc>
          <w:tcPr>
            <w:tcW w:w="701" w:type="pct"/>
          </w:tcPr>
          <w:p w:rsidR="00651F27" w:rsidRPr="00AA26E9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651F27" w:rsidRPr="00F54544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651F27" w:rsidRPr="004D4BB4" w:rsidRDefault="00DE095E" w:rsidP="00651F2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Makalah </w:t>
            </w:r>
            <w:r w:rsidR="004D4BB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dan presentasi kelompok</w:t>
            </w:r>
          </w:p>
        </w:tc>
        <w:tc>
          <w:tcPr>
            <w:tcW w:w="589" w:type="pct"/>
          </w:tcPr>
          <w:p w:rsidR="00651F27" w:rsidRPr="00AA26E9" w:rsidRDefault="00651F27" w:rsidP="00651F27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</w:t>
            </w:r>
            <w:r w:rsidR="004D4BB4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240-267</w:t>
            </w:r>
          </w:p>
        </w:tc>
      </w:tr>
      <w:tr w:rsidR="00EA2446" w:rsidRPr="00F54544" w:rsidTr="00B9017A">
        <w:tc>
          <w:tcPr>
            <w:tcW w:w="435" w:type="pct"/>
          </w:tcPr>
          <w:p w:rsidR="00EA2446" w:rsidRPr="00F54544" w:rsidRDefault="00EA2446" w:rsidP="00EA244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EA2446" w:rsidRPr="00EA2446" w:rsidRDefault="00DE095E" w:rsidP="00EA2446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Ma</w:t>
            </w:r>
            <w:r w:rsidR="00EA2446">
              <w:rPr>
                <w:rFonts w:asciiTheme="majorBidi" w:hAnsiTheme="majorBidi" w:cstheme="majorBidi"/>
              </w:rPr>
              <w:t xml:space="preserve">hasiswa mampu </w:t>
            </w:r>
            <w:r w:rsidR="00EA2446">
              <w:rPr>
                <w:rFonts w:asciiTheme="majorBidi" w:hAnsiTheme="majorBidi" w:cstheme="majorBidi"/>
                <w:lang w:val="id-ID"/>
              </w:rPr>
              <w:t>mengkaji, memahami dan menganalisis perspektif fungsionalisme dan behaviorisme.</w:t>
            </w:r>
          </w:p>
        </w:tc>
        <w:tc>
          <w:tcPr>
            <w:tcW w:w="983" w:type="pct"/>
          </w:tcPr>
          <w:p w:rsidR="00EA2446" w:rsidRPr="00EA2446" w:rsidRDefault="00EA2446" w:rsidP="00EA2446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Functionalism dan Behaviorism.</w:t>
            </w:r>
          </w:p>
        </w:tc>
        <w:tc>
          <w:tcPr>
            <w:tcW w:w="701" w:type="pct"/>
          </w:tcPr>
          <w:p w:rsidR="00EA2446" w:rsidRPr="00AA26E9" w:rsidRDefault="00EA2446" w:rsidP="00EA2446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EA2446" w:rsidRPr="00F54544" w:rsidRDefault="00EA2446" w:rsidP="00EA244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EA2446" w:rsidRPr="004D4BB4" w:rsidRDefault="00DE095E" w:rsidP="00EA2446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Makalah</w:t>
            </w:r>
            <w:r w:rsidR="00EA2446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dan presentasi kelompok</w:t>
            </w:r>
          </w:p>
        </w:tc>
        <w:tc>
          <w:tcPr>
            <w:tcW w:w="589" w:type="pct"/>
          </w:tcPr>
          <w:p w:rsidR="00EA2446" w:rsidRPr="00AA26E9" w:rsidRDefault="00EA2446" w:rsidP="00EA2446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 307-385</w:t>
            </w:r>
          </w:p>
        </w:tc>
      </w:tr>
      <w:tr w:rsidR="00EA2446" w:rsidRPr="00F54544" w:rsidTr="00B9017A">
        <w:tc>
          <w:tcPr>
            <w:tcW w:w="435" w:type="pct"/>
          </w:tcPr>
          <w:p w:rsidR="00EA2446" w:rsidRPr="00F54544" w:rsidRDefault="00EA2446" w:rsidP="00EA244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EA2446" w:rsidRPr="00EA2446" w:rsidRDefault="00DE095E" w:rsidP="00EA2446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Ma</w:t>
            </w:r>
            <w:r w:rsidR="00EA2446">
              <w:rPr>
                <w:rFonts w:asciiTheme="majorBidi" w:hAnsiTheme="majorBidi" w:cstheme="majorBidi"/>
              </w:rPr>
              <w:t xml:space="preserve">hasiswa mampu </w:t>
            </w:r>
            <w:r w:rsidR="00EA2446">
              <w:rPr>
                <w:rFonts w:asciiTheme="majorBidi" w:hAnsiTheme="majorBidi" w:cstheme="majorBidi"/>
                <w:lang w:val="id-ID"/>
              </w:rPr>
              <w:t>mengkaji dan menganalisis perspektif neobihaviorisme dan psikologi gestalt.</w:t>
            </w:r>
          </w:p>
        </w:tc>
        <w:tc>
          <w:tcPr>
            <w:tcW w:w="983" w:type="pct"/>
          </w:tcPr>
          <w:p w:rsidR="00EA2446" w:rsidRPr="00EA2446" w:rsidRDefault="00EA2446" w:rsidP="00EA2446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Neobihaviorism dan Gestalt Psychology.</w:t>
            </w:r>
          </w:p>
        </w:tc>
        <w:tc>
          <w:tcPr>
            <w:tcW w:w="701" w:type="pct"/>
          </w:tcPr>
          <w:p w:rsidR="00EA2446" w:rsidRPr="00AA26E9" w:rsidRDefault="00EA2446" w:rsidP="00EA2446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EA2446" w:rsidRPr="00F54544" w:rsidRDefault="00EA2446" w:rsidP="00EA244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EA2446" w:rsidRPr="004D4BB4" w:rsidRDefault="00DE095E" w:rsidP="00EA2446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Makalah</w:t>
            </w:r>
            <w:r w:rsidR="00EA2446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dan presentasi kelompok</w:t>
            </w:r>
          </w:p>
        </w:tc>
        <w:tc>
          <w:tcPr>
            <w:tcW w:w="589" w:type="pct"/>
          </w:tcPr>
          <w:p w:rsidR="00EA2446" w:rsidRPr="00AA26E9" w:rsidRDefault="00EA2446" w:rsidP="00EA2446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 387-443</w:t>
            </w:r>
          </w:p>
        </w:tc>
      </w:tr>
      <w:tr w:rsidR="00DE095E" w:rsidRPr="00F54544" w:rsidTr="00B9017A">
        <w:tc>
          <w:tcPr>
            <w:tcW w:w="435" w:type="pct"/>
          </w:tcPr>
          <w:p w:rsidR="00DE095E" w:rsidRPr="00F54544" w:rsidRDefault="00DE095E" w:rsidP="00DE09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E095E" w:rsidRPr="00DE095E" w:rsidRDefault="00DE095E" w:rsidP="00DE095E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Mahasiswa mampu </w:t>
            </w:r>
            <w:r>
              <w:rPr>
                <w:rFonts w:asciiTheme="majorBidi" w:hAnsiTheme="majorBidi" w:cstheme="majorBidi"/>
                <w:lang w:val="id-ID"/>
              </w:rPr>
              <w:t>mengkaji dan mengungkapkan pemahaman terkait diagnosis awal, penjelasan, dan treatment mental illness serta mengkaji psikoanalisis.</w:t>
            </w:r>
          </w:p>
        </w:tc>
        <w:tc>
          <w:tcPr>
            <w:tcW w:w="983" w:type="pct"/>
          </w:tcPr>
          <w:p w:rsidR="00DE095E" w:rsidRPr="00DE095E" w:rsidRDefault="00DE095E" w:rsidP="00DE095E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Diagnosis, Explanation, dan Treatment of Mental Illness. Psychoanalysis.</w:t>
            </w:r>
          </w:p>
        </w:tc>
        <w:tc>
          <w:tcPr>
            <w:tcW w:w="701" w:type="pct"/>
          </w:tcPr>
          <w:p w:rsidR="00DE095E" w:rsidRPr="00AA26E9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DE095E" w:rsidRPr="00F54544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E095E" w:rsidRPr="004D4BB4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Makalah dan presentasi kelompok</w:t>
            </w:r>
          </w:p>
        </w:tc>
        <w:tc>
          <w:tcPr>
            <w:tcW w:w="589" w:type="pct"/>
          </w:tcPr>
          <w:p w:rsidR="00DE095E" w:rsidRPr="00AA26E9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 446-505</w:t>
            </w:r>
          </w:p>
        </w:tc>
      </w:tr>
      <w:tr w:rsidR="00DE095E" w:rsidRPr="00F54544" w:rsidTr="00B9017A">
        <w:tc>
          <w:tcPr>
            <w:tcW w:w="435" w:type="pct"/>
          </w:tcPr>
          <w:p w:rsidR="00DE095E" w:rsidRPr="00F54544" w:rsidRDefault="00DE095E" w:rsidP="00DE09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E095E" w:rsidRPr="00F54544" w:rsidRDefault="00DE095E" w:rsidP="00DE095E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Mahasiswa mampu </w:t>
            </w:r>
            <w:r>
              <w:rPr>
                <w:rFonts w:asciiTheme="majorBidi" w:hAnsiTheme="majorBidi" w:cstheme="majorBidi"/>
                <w:lang w:val="id-ID"/>
              </w:rPr>
              <w:t>mengkaji dan mengungkapkan pemahamannya terkait alternatif awal pada psikoanalisis dan psikologi humanistik.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83" w:type="pct"/>
          </w:tcPr>
          <w:p w:rsidR="00DE095E" w:rsidRPr="00DE095E" w:rsidRDefault="00DE095E" w:rsidP="00DE095E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Early Alternative to Psychoanalysis. Humanistic Psychology.</w:t>
            </w:r>
          </w:p>
        </w:tc>
        <w:tc>
          <w:tcPr>
            <w:tcW w:w="701" w:type="pct"/>
          </w:tcPr>
          <w:p w:rsidR="00DE095E" w:rsidRPr="00AA26E9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DE095E" w:rsidRPr="00F54544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E095E" w:rsidRPr="004D4BB4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Makalah dan presentasi kelompok</w:t>
            </w:r>
          </w:p>
        </w:tc>
        <w:tc>
          <w:tcPr>
            <w:tcW w:w="589" w:type="pct"/>
          </w:tcPr>
          <w:p w:rsidR="00DE095E" w:rsidRPr="00AA26E9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 507-553</w:t>
            </w:r>
          </w:p>
        </w:tc>
      </w:tr>
      <w:tr w:rsidR="00DE095E" w:rsidRPr="00F54544" w:rsidTr="00B9017A">
        <w:tc>
          <w:tcPr>
            <w:tcW w:w="435" w:type="pct"/>
          </w:tcPr>
          <w:p w:rsidR="00DE095E" w:rsidRPr="00F54544" w:rsidRDefault="00DE095E" w:rsidP="00DE09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E095E" w:rsidRPr="00DE095E" w:rsidRDefault="00DE095E" w:rsidP="00DE095E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Mahasiswa mampu </w:t>
            </w:r>
            <w:r>
              <w:rPr>
                <w:rFonts w:asciiTheme="majorBidi" w:hAnsiTheme="majorBidi" w:cstheme="majorBidi"/>
                <w:lang w:val="id-ID"/>
              </w:rPr>
              <w:t>mengkaji,</w:t>
            </w:r>
            <w:r>
              <w:rPr>
                <w:rFonts w:asciiTheme="majorBidi" w:hAnsiTheme="majorBidi" w:cstheme="majorBidi"/>
              </w:rPr>
              <w:t xml:space="preserve"> menganalisis serta mengungkapkan pemahamannya terkait psi</w:t>
            </w:r>
            <w:r>
              <w:rPr>
                <w:rFonts w:asciiTheme="majorBidi" w:hAnsiTheme="majorBidi" w:cstheme="majorBidi"/>
                <w:lang w:val="id-ID"/>
              </w:rPr>
              <w:t>kobiologi, psikologi kognitif, dan psikologi kontemporer.</w:t>
            </w:r>
          </w:p>
        </w:tc>
        <w:tc>
          <w:tcPr>
            <w:tcW w:w="983" w:type="pct"/>
          </w:tcPr>
          <w:p w:rsidR="00DE095E" w:rsidRPr="00DE095E" w:rsidRDefault="00DE095E" w:rsidP="00DE095E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Psychobiology. Cognitive Psychology. Contemporary Psychology.</w:t>
            </w:r>
          </w:p>
        </w:tc>
        <w:tc>
          <w:tcPr>
            <w:tcW w:w="701" w:type="pct"/>
          </w:tcPr>
          <w:p w:rsidR="00DE095E" w:rsidRPr="00AA26E9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DE095E" w:rsidRPr="00F54544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E095E" w:rsidRPr="004D4BB4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Makalah dan presentasi kelompok</w:t>
            </w:r>
          </w:p>
        </w:tc>
        <w:tc>
          <w:tcPr>
            <w:tcW w:w="589" w:type="pct"/>
          </w:tcPr>
          <w:p w:rsidR="00DE095E" w:rsidRPr="00AA26E9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 halaman: 556-</w:t>
            </w:r>
            <w:r w:rsidR="00FC44D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607</w:t>
            </w:r>
          </w:p>
        </w:tc>
      </w:tr>
      <w:tr w:rsidR="00DE095E" w:rsidRPr="00F54544" w:rsidTr="00B9017A">
        <w:tc>
          <w:tcPr>
            <w:tcW w:w="435" w:type="pct"/>
          </w:tcPr>
          <w:p w:rsidR="00DE095E" w:rsidRPr="00F54544" w:rsidRDefault="00DE095E" w:rsidP="00DE09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E095E" w:rsidRPr="00FC44D0" w:rsidRDefault="00DE095E" w:rsidP="00FC44D0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Mahasiswa mampu </w:t>
            </w:r>
            <w:r w:rsidR="00FC44D0">
              <w:rPr>
                <w:rFonts w:asciiTheme="majorBidi" w:hAnsiTheme="majorBidi" w:cstheme="majorBidi"/>
                <w:lang w:val="id-ID"/>
              </w:rPr>
              <w:t>mengungkapkan hasil dari kajian dan pemahaman terkait sejarah aliran dan perspektif psikologi.</w:t>
            </w:r>
          </w:p>
        </w:tc>
        <w:tc>
          <w:tcPr>
            <w:tcW w:w="983" w:type="pct"/>
          </w:tcPr>
          <w:p w:rsidR="00DE095E" w:rsidRPr="00F54544" w:rsidRDefault="00DE095E" w:rsidP="00DE095E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Ujian Akhir Semester</w:t>
            </w:r>
          </w:p>
        </w:tc>
        <w:tc>
          <w:tcPr>
            <w:tcW w:w="701" w:type="pct"/>
          </w:tcPr>
          <w:p w:rsidR="00DE095E" w:rsidRPr="00AA26E9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Interactive Learning</w:t>
            </w:r>
          </w:p>
        </w:tc>
        <w:tc>
          <w:tcPr>
            <w:tcW w:w="285" w:type="pct"/>
          </w:tcPr>
          <w:p w:rsidR="00DE095E" w:rsidRPr="00F54544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E095E" w:rsidRPr="00F54544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Soal-soal analisis berdasar pada buku.</w:t>
            </w:r>
          </w:p>
        </w:tc>
        <w:tc>
          <w:tcPr>
            <w:tcW w:w="589" w:type="pct"/>
          </w:tcPr>
          <w:p w:rsidR="00DE095E" w:rsidRPr="00AA26E9" w:rsidRDefault="00DE095E" w:rsidP="00DE095E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</w:t>
            </w:r>
            <w:r w:rsidR="00FC44D0">
              <w:rPr>
                <w:rFonts w:asciiTheme="majorBidi" w:hAnsiTheme="majorBidi" w:cstheme="majorBidi"/>
                <w:sz w:val="20"/>
                <w:szCs w:val="20"/>
                <w:lang w:val="id-ID"/>
              </w:rPr>
              <w:t>.</w:t>
            </w:r>
          </w:p>
        </w:tc>
      </w:tr>
      <w:tr w:rsidR="00877CE7" w:rsidRPr="00F54544" w:rsidTr="00215BAA">
        <w:tc>
          <w:tcPr>
            <w:tcW w:w="5000" w:type="pct"/>
            <w:gridSpan w:val="7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Daftar Rujukan </w:t>
            </w:r>
          </w:p>
          <w:p w:rsidR="00877CE7" w:rsidRPr="007D74C3" w:rsidRDefault="007D74C3" w:rsidP="00877CE7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Hergenhahn, B.R. (2005). An Introduction to the History of Psychology. Fifth Edition.</w:t>
            </w:r>
          </w:p>
        </w:tc>
      </w:tr>
      <w:tr w:rsidR="00877CE7" w:rsidRPr="00F54544" w:rsidTr="00215BAA">
        <w:tc>
          <w:tcPr>
            <w:tcW w:w="5000" w:type="pct"/>
            <w:gridSpan w:val="7"/>
          </w:tcPr>
          <w:p w:rsidR="00877CE7" w:rsidRPr="00F54544" w:rsidRDefault="00877CE7" w:rsidP="00877CE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Bahan Ajar (Lampiran 1)</w:t>
            </w:r>
          </w:p>
          <w:p w:rsidR="00877CE7" w:rsidRPr="007D74C3" w:rsidRDefault="007D74C3" w:rsidP="00877CE7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Powerpoint bersumber dari Hergenhahn, B.R (2005). Video.</w:t>
            </w:r>
          </w:p>
        </w:tc>
      </w:tr>
      <w:tr w:rsidR="00877CE7" w:rsidRPr="00720873" w:rsidTr="00215BAA">
        <w:tc>
          <w:tcPr>
            <w:tcW w:w="5000" w:type="pct"/>
            <w:gridSpan w:val="7"/>
          </w:tcPr>
          <w:p w:rsidR="00877CE7" w:rsidRPr="00AA415A" w:rsidRDefault="00877CE7" w:rsidP="00877CE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Instrumen Penilaian (Lampiran 2)</w:t>
            </w:r>
          </w:p>
          <w:p w:rsidR="00877CE7" w:rsidRPr="00F54544" w:rsidRDefault="00877CE7" w:rsidP="00877CE7">
            <w:pPr>
              <w:pStyle w:val="ListParagraph"/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--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F5D12" w:rsidRPr="00F54544" w:rsidRDefault="008F5D12">
      <w:pPr>
        <w:rPr>
          <w:rFonts w:asciiTheme="majorBidi" w:hAnsiTheme="majorBidi" w:cstheme="majorBidi"/>
        </w:rPr>
      </w:pPr>
      <w:bookmarkStart w:id="0" w:name="_GoBack"/>
      <w:bookmarkEnd w:id="0"/>
    </w:p>
    <w:sectPr w:rsidR="008F5D12" w:rsidRPr="00F54544" w:rsidSect="00116D8B"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79" w:rsidRDefault="00B72579" w:rsidP="00D06B7D">
      <w:pPr>
        <w:spacing w:after="0" w:line="240" w:lineRule="auto"/>
      </w:pPr>
      <w:r>
        <w:separator/>
      </w:r>
    </w:p>
  </w:endnote>
  <w:endnote w:type="continuationSeparator" w:id="0">
    <w:p w:rsidR="00B72579" w:rsidRDefault="00B72579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79" w:rsidRDefault="00B72579" w:rsidP="00D06B7D">
      <w:pPr>
        <w:spacing w:after="0" w:line="240" w:lineRule="auto"/>
      </w:pPr>
      <w:r>
        <w:separator/>
      </w:r>
    </w:p>
  </w:footnote>
  <w:footnote w:type="continuationSeparator" w:id="0">
    <w:p w:rsidR="00B72579" w:rsidRDefault="00B72579" w:rsidP="00D0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46"/>
    <w:rsid w:val="0000759F"/>
    <w:rsid w:val="000229DB"/>
    <w:rsid w:val="00027682"/>
    <w:rsid w:val="00053D8A"/>
    <w:rsid w:val="00091FF6"/>
    <w:rsid w:val="00096D3A"/>
    <w:rsid w:val="000A111C"/>
    <w:rsid w:val="000B5066"/>
    <w:rsid w:val="000B7B54"/>
    <w:rsid w:val="000C44FB"/>
    <w:rsid w:val="000E0A5A"/>
    <w:rsid w:val="000E4EA6"/>
    <w:rsid w:val="00100744"/>
    <w:rsid w:val="00116D8B"/>
    <w:rsid w:val="00142135"/>
    <w:rsid w:val="001532AA"/>
    <w:rsid w:val="00160526"/>
    <w:rsid w:val="00163AD7"/>
    <w:rsid w:val="001909BE"/>
    <w:rsid w:val="001C3D16"/>
    <w:rsid w:val="001E4970"/>
    <w:rsid w:val="001F651D"/>
    <w:rsid w:val="00203BA9"/>
    <w:rsid w:val="00215BAA"/>
    <w:rsid w:val="00260AC9"/>
    <w:rsid w:val="002642E8"/>
    <w:rsid w:val="002B30F8"/>
    <w:rsid w:val="003103FA"/>
    <w:rsid w:val="00314038"/>
    <w:rsid w:val="003336A1"/>
    <w:rsid w:val="003373F1"/>
    <w:rsid w:val="003C7AB4"/>
    <w:rsid w:val="004076F1"/>
    <w:rsid w:val="00407AC2"/>
    <w:rsid w:val="00411D9F"/>
    <w:rsid w:val="00413A4D"/>
    <w:rsid w:val="004368F7"/>
    <w:rsid w:val="004465AC"/>
    <w:rsid w:val="00474AC7"/>
    <w:rsid w:val="004848B0"/>
    <w:rsid w:val="00485159"/>
    <w:rsid w:val="00486D77"/>
    <w:rsid w:val="004B4474"/>
    <w:rsid w:val="004C044F"/>
    <w:rsid w:val="004D4BB4"/>
    <w:rsid w:val="004D6C89"/>
    <w:rsid w:val="004F5193"/>
    <w:rsid w:val="004F6B4D"/>
    <w:rsid w:val="0050544A"/>
    <w:rsid w:val="00532A54"/>
    <w:rsid w:val="00550056"/>
    <w:rsid w:val="005740CA"/>
    <w:rsid w:val="005A41C9"/>
    <w:rsid w:val="005B7A53"/>
    <w:rsid w:val="005F3119"/>
    <w:rsid w:val="00600D7E"/>
    <w:rsid w:val="00603799"/>
    <w:rsid w:val="00620722"/>
    <w:rsid w:val="00650673"/>
    <w:rsid w:val="00651F27"/>
    <w:rsid w:val="00692D2F"/>
    <w:rsid w:val="006B737E"/>
    <w:rsid w:val="006D04A0"/>
    <w:rsid w:val="006E3D36"/>
    <w:rsid w:val="006F6A3A"/>
    <w:rsid w:val="007147F0"/>
    <w:rsid w:val="007161B0"/>
    <w:rsid w:val="00720873"/>
    <w:rsid w:val="007239AC"/>
    <w:rsid w:val="007930BB"/>
    <w:rsid w:val="00797977"/>
    <w:rsid w:val="007D74C3"/>
    <w:rsid w:val="007F0035"/>
    <w:rsid w:val="007F0DEA"/>
    <w:rsid w:val="00801B84"/>
    <w:rsid w:val="008039DB"/>
    <w:rsid w:val="0081077D"/>
    <w:rsid w:val="00811D88"/>
    <w:rsid w:val="00822E80"/>
    <w:rsid w:val="00837E4F"/>
    <w:rsid w:val="00854510"/>
    <w:rsid w:val="00877CE7"/>
    <w:rsid w:val="00894D18"/>
    <w:rsid w:val="00896D5E"/>
    <w:rsid w:val="008B0756"/>
    <w:rsid w:val="008E6DBA"/>
    <w:rsid w:val="008F5D12"/>
    <w:rsid w:val="00956787"/>
    <w:rsid w:val="009668E3"/>
    <w:rsid w:val="009D6236"/>
    <w:rsid w:val="009F056E"/>
    <w:rsid w:val="00A152B0"/>
    <w:rsid w:val="00A33BFD"/>
    <w:rsid w:val="00A46166"/>
    <w:rsid w:val="00A559CE"/>
    <w:rsid w:val="00AA26E9"/>
    <w:rsid w:val="00AA415A"/>
    <w:rsid w:val="00AB3A27"/>
    <w:rsid w:val="00AE158B"/>
    <w:rsid w:val="00B034B7"/>
    <w:rsid w:val="00B2334F"/>
    <w:rsid w:val="00B35F43"/>
    <w:rsid w:val="00B44D4C"/>
    <w:rsid w:val="00B543B5"/>
    <w:rsid w:val="00B72579"/>
    <w:rsid w:val="00B9017A"/>
    <w:rsid w:val="00BC6234"/>
    <w:rsid w:val="00C0370D"/>
    <w:rsid w:val="00C05E7D"/>
    <w:rsid w:val="00C31756"/>
    <w:rsid w:val="00C34D5D"/>
    <w:rsid w:val="00C61763"/>
    <w:rsid w:val="00C71E79"/>
    <w:rsid w:val="00D06B7D"/>
    <w:rsid w:val="00D3346F"/>
    <w:rsid w:val="00D504BE"/>
    <w:rsid w:val="00D741F3"/>
    <w:rsid w:val="00D74F1A"/>
    <w:rsid w:val="00D815F7"/>
    <w:rsid w:val="00D91BC7"/>
    <w:rsid w:val="00DC21E5"/>
    <w:rsid w:val="00DC2C46"/>
    <w:rsid w:val="00DE095E"/>
    <w:rsid w:val="00DE7D51"/>
    <w:rsid w:val="00DF2DC7"/>
    <w:rsid w:val="00DF778A"/>
    <w:rsid w:val="00E608D6"/>
    <w:rsid w:val="00EA1416"/>
    <w:rsid w:val="00EA2446"/>
    <w:rsid w:val="00EB2B1C"/>
    <w:rsid w:val="00EB6B3A"/>
    <w:rsid w:val="00ED5DB6"/>
    <w:rsid w:val="00ED71D9"/>
    <w:rsid w:val="00F064E1"/>
    <w:rsid w:val="00F107AE"/>
    <w:rsid w:val="00F31F3C"/>
    <w:rsid w:val="00F54544"/>
    <w:rsid w:val="00F5655B"/>
    <w:rsid w:val="00F679FD"/>
    <w:rsid w:val="00F74FA4"/>
    <w:rsid w:val="00F93562"/>
    <w:rsid w:val="00F96E2A"/>
    <w:rsid w:val="00FC44D0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8B6EC6"/>
  <w15:docId w15:val="{F390A675-1774-4CDD-BE0D-2C2B1E1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paragraph" w:styleId="Heading2">
    <w:name w:val="heading 2"/>
    <w:basedOn w:val="Normal"/>
    <w:next w:val="Normal"/>
    <w:link w:val="Heading2Char"/>
    <w:autoRedefine/>
    <w:qFormat/>
    <w:rsid w:val="00D815F7"/>
    <w:pPr>
      <w:keepNext/>
      <w:spacing w:before="60" w:after="60" w:line="240" w:lineRule="auto"/>
      <w:outlineLvl w:val="1"/>
    </w:pPr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815F7"/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customStyle="1" w:styleId="apple-style-span">
    <w:name w:val="apple-style-span"/>
    <w:basedOn w:val="DefaultParagraphFont"/>
    <w:rsid w:val="00797977"/>
  </w:style>
  <w:style w:type="character" w:styleId="Hyperlink">
    <w:name w:val="Hyperlink"/>
    <w:basedOn w:val="DefaultParagraphFont"/>
    <w:uiPriority w:val="99"/>
    <w:semiHidden/>
    <w:unhideWhenUsed/>
    <w:rsid w:val="007979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977"/>
  </w:style>
  <w:style w:type="character" w:styleId="HTMLCite">
    <w:name w:val="HTML Cite"/>
    <w:basedOn w:val="DefaultParagraphFont"/>
    <w:uiPriority w:val="99"/>
    <w:semiHidden/>
    <w:unhideWhenUsed/>
    <w:rsid w:val="00797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D767-3EA8-46EF-B245-E7BC475D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ACER</cp:lastModifiedBy>
  <cp:revision>4</cp:revision>
  <dcterms:created xsi:type="dcterms:W3CDTF">2019-07-08T07:24:00Z</dcterms:created>
  <dcterms:modified xsi:type="dcterms:W3CDTF">2019-07-09T05:40:00Z</dcterms:modified>
</cp:coreProperties>
</file>