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2527"/>
        <w:gridCol w:w="1521"/>
        <w:gridCol w:w="3149"/>
        <w:gridCol w:w="996"/>
        <w:gridCol w:w="303"/>
        <w:gridCol w:w="3054"/>
      </w:tblGrid>
      <w:tr w:rsidR="0082600C" w:rsidRPr="0082600C" w:rsidTr="00DD6972">
        <w:trPr>
          <w:trHeight w:val="237"/>
          <w:jc w:val="center"/>
        </w:trPr>
        <w:tc>
          <w:tcPr>
            <w:tcW w:w="617" w:type="pct"/>
            <w:vMerge w:val="restart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2600C">
              <w:rPr>
                <w:noProof/>
                <w:sz w:val="22"/>
                <w:szCs w:val="22"/>
              </w:rPr>
              <w:drawing>
                <wp:inline distT="0" distB="0" distL="0" distR="0" wp14:anchorId="14563C27" wp14:editId="4B4E5612">
                  <wp:extent cx="583421" cy="576848"/>
                  <wp:effectExtent l="0" t="0" r="7620" b="0"/>
                  <wp:docPr id="1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2600C">
              <w:rPr>
                <w:b/>
                <w:sz w:val="22"/>
                <w:szCs w:val="22"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 xml:space="preserve">No. </w:t>
            </w:r>
            <w:proofErr w:type="spellStart"/>
            <w:r w:rsidRPr="0082600C">
              <w:rPr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FIP-UPI-RPS-PSI-01</w:t>
            </w:r>
          </w:p>
        </w:tc>
      </w:tr>
      <w:tr w:rsidR="0082600C" w:rsidRPr="0082600C" w:rsidTr="00DD6972">
        <w:trPr>
          <w:trHeight w:val="236"/>
          <w:jc w:val="center"/>
        </w:trPr>
        <w:tc>
          <w:tcPr>
            <w:tcW w:w="617" w:type="pct"/>
            <w:vMerge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Revisi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00</w:t>
            </w:r>
          </w:p>
        </w:tc>
      </w:tr>
      <w:tr w:rsidR="0082600C" w:rsidRPr="0082600C" w:rsidTr="00DD6972">
        <w:trPr>
          <w:trHeight w:val="236"/>
          <w:jc w:val="center"/>
        </w:trPr>
        <w:tc>
          <w:tcPr>
            <w:tcW w:w="617" w:type="pct"/>
            <w:vMerge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600C" w:rsidRPr="0082600C" w:rsidRDefault="00B4044D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KESEHATAN MENTAL</w:t>
            </w: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</w:p>
        </w:tc>
      </w:tr>
      <w:tr w:rsidR="0082600C" w:rsidRPr="0082600C" w:rsidTr="00DD6972">
        <w:trPr>
          <w:trHeight w:val="236"/>
          <w:jc w:val="center"/>
        </w:trPr>
        <w:tc>
          <w:tcPr>
            <w:tcW w:w="617" w:type="pct"/>
            <w:vMerge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:rsidR="0082600C" w:rsidRPr="0082600C" w:rsidRDefault="0082600C" w:rsidP="00DD697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 xml:space="preserve">1 </w:t>
            </w:r>
            <w:proofErr w:type="spellStart"/>
            <w:r w:rsidRPr="0082600C">
              <w:rPr>
                <w:sz w:val="22"/>
                <w:szCs w:val="22"/>
              </w:rPr>
              <w:t>dari</w:t>
            </w:r>
            <w:proofErr w:type="spellEnd"/>
            <w:r w:rsidRPr="0082600C">
              <w:rPr>
                <w:sz w:val="22"/>
                <w:szCs w:val="22"/>
              </w:rPr>
              <w:t xml:space="preserve"> 5</w:t>
            </w:r>
          </w:p>
        </w:tc>
      </w:tr>
      <w:tr w:rsidR="0082600C" w:rsidRPr="0082600C" w:rsidTr="00DD6972">
        <w:trPr>
          <w:jc w:val="center"/>
        </w:trPr>
        <w:tc>
          <w:tcPr>
            <w:tcW w:w="1576" w:type="pct"/>
            <w:gridSpan w:val="2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Dibuat</w:t>
            </w:r>
            <w:proofErr w:type="spellEnd"/>
            <w:r w:rsidRPr="0082600C">
              <w:rPr>
                <w:sz w:val="22"/>
                <w:szCs w:val="22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</w:rPr>
              <w:t>oleh</w:t>
            </w:r>
            <w:proofErr w:type="spellEnd"/>
            <w:r w:rsidRPr="0082600C">
              <w:rPr>
                <w:sz w:val="22"/>
                <w:szCs w:val="22"/>
              </w:rPr>
              <w:t>:</w:t>
            </w:r>
          </w:p>
        </w:tc>
        <w:tc>
          <w:tcPr>
            <w:tcW w:w="1772" w:type="pct"/>
            <w:gridSpan w:val="2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Diperiksa</w:t>
            </w:r>
            <w:proofErr w:type="spellEnd"/>
            <w:r w:rsidRPr="0082600C">
              <w:rPr>
                <w:sz w:val="22"/>
                <w:szCs w:val="22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</w:rPr>
              <w:t>oleh</w:t>
            </w:r>
            <w:proofErr w:type="spellEnd"/>
            <w:r w:rsidRPr="0082600C">
              <w:rPr>
                <w:sz w:val="22"/>
                <w:szCs w:val="22"/>
              </w:rPr>
              <w:t>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Disetujui</w:t>
            </w:r>
            <w:proofErr w:type="spellEnd"/>
            <w:r w:rsidRPr="0082600C">
              <w:rPr>
                <w:sz w:val="22"/>
                <w:szCs w:val="22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</w:rPr>
              <w:t>oleh</w:t>
            </w:r>
            <w:proofErr w:type="spellEnd"/>
            <w:r w:rsidRPr="0082600C">
              <w:rPr>
                <w:sz w:val="22"/>
                <w:szCs w:val="22"/>
              </w:rPr>
              <w:t>:</w:t>
            </w:r>
          </w:p>
        </w:tc>
      </w:tr>
      <w:tr w:rsidR="0082600C" w:rsidRPr="0082600C" w:rsidTr="00DD6972">
        <w:trPr>
          <w:jc w:val="center"/>
        </w:trPr>
        <w:tc>
          <w:tcPr>
            <w:tcW w:w="1576" w:type="pct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.</w:t>
            </w: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pct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tabs>
                <w:tab w:val="left" w:pos="495"/>
              </w:tabs>
              <w:spacing w:line="276" w:lineRule="auto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ab/>
            </w:r>
          </w:p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2600C" w:rsidRPr="0082600C" w:rsidTr="00DD6972">
        <w:trPr>
          <w:jc w:val="center"/>
        </w:trPr>
        <w:tc>
          <w:tcPr>
            <w:tcW w:w="1576" w:type="pct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 xml:space="preserve">Anastasia </w:t>
            </w:r>
            <w:proofErr w:type="spellStart"/>
            <w:r w:rsidRPr="0082600C">
              <w:rPr>
                <w:sz w:val="22"/>
                <w:szCs w:val="22"/>
              </w:rPr>
              <w:t>Wulandari</w:t>
            </w:r>
            <w:proofErr w:type="spellEnd"/>
            <w:r w:rsidRPr="0082600C">
              <w:rPr>
                <w:sz w:val="22"/>
                <w:szCs w:val="22"/>
              </w:rPr>
              <w:t xml:space="preserve">, M. Psi., </w:t>
            </w:r>
            <w:proofErr w:type="spellStart"/>
            <w:r w:rsidRPr="0082600C">
              <w:rPr>
                <w:sz w:val="22"/>
                <w:szCs w:val="22"/>
              </w:rPr>
              <w:t>Psikolog</w:t>
            </w:r>
            <w:proofErr w:type="spellEnd"/>
          </w:p>
        </w:tc>
        <w:tc>
          <w:tcPr>
            <w:tcW w:w="1772" w:type="pct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Helli Ihsan, S.Ag., M.Si.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Dr</w:t>
            </w:r>
            <w:r w:rsidRPr="0082600C">
              <w:rPr>
                <w:sz w:val="22"/>
                <w:szCs w:val="22"/>
                <w:lang w:val="en-US"/>
              </w:rPr>
              <w:t xml:space="preserve">. Sri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Maslihah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 xml:space="preserve">, M. Psi.,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Psikolog</w:t>
            </w:r>
            <w:proofErr w:type="spellEnd"/>
          </w:p>
        </w:tc>
      </w:tr>
      <w:tr w:rsidR="0082600C" w:rsidRPr="0082600C" w:rsidTr="00DD6972">
        <w:trPr>
          <w:jc w:val="center"/>
        </w:trPr>
        <w:tc>
          <w:tcPr>
            <w:tcW w:w="1576" w:type="pct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600C">
              <w:rPr>
                <w:sz w:val="22"/>
                <w:szCs w:val="22"/>
              </w:rPr>
              <w:t>NIP 197802082006042002</w:t>
            </w:r>
          </w:p>
        </w:tc>
        <w:tc>
          <w:tcPr>
            <w:tcW w:w="1772" w:type="pct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</w:rPr>
              <w:t>NIP</w:t>
            </w:r>
            <w:r w:rsidRPr="0082600C">
              <w:rPr>
                <w:sz w:val="22"/>
                <w:szCs w:val="22"/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</w:rPr>
              <w:t>NIP.</w:t>
            </w:r>
            <w:r w:rsidRPr="0082600C">
              <w:rPr>
                <w:sz w:val="22"/>
                <w:szCs w:val="22"/>
                <w:lang w:val="id-ID"/>
              </w:rPr>
              <w:t xml:space="preserve"> 19</w:t>
            </w:r>
            <w:r w:rsidRPr="0082600C">
              <w:rPr>
                <w:sz w:val="22"/>
                <w:szCs w:val="22"/>
                <w:lang w:val="en-US"/>
              </w:rPr>
              <w:t>7007262003122001</w:t>
            </w:r>
          </w:p>
        </w:tc>
      </w:tr>
      <w:tr w:rsidR="0082600C" w:rsidRPr="0082600C" w:rsidTr="00DD6972">
        <w:trPr>
          <w:jc w:val="center"/>
        </w:trPr>
        <w:tc>
          <w:tcPr>
            <w:tcW w:w="1576" w:type="pct"/>
            <w:gridSpan w:val="2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2600C">
              <w:rPr>
                <w:b/>
                <w:sz w:val="22"/>
                <w:szCs w:val="22"/>
              </w:rPr>
              <w:t>Dosen</w:t>
            </w:r>
            <w:proofErr w:type="spellEnd"/>
            <w:r w:rsidRPr="0082600C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</w:rPr>
              <w:t>Pengampu</w:t>
            </w:r>
            <w:proofErr w:type="spellEnd"/>
            <w:r w:rsidRPr="0082600C">
              <w:rPr>
                <w:b/>
                <w:sz w:val="22"/>
                <w:szCs w:val="22"/>
              </w:rPr>
              <w:t xml:space="preserve"> Mata </w:t>
            </w:r>
            <w:proofErr w:type="spellStart"/>
            <w:r w:rsidRPr="0082600C">
              <w:rPr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772" w:type="pct"/>
            <w:gridSpan w:val="2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82600C">
              <w:rPr>
                <w:b/>
                <w:sz w:val="22"/>
                <w:szCs w:val="22"/>
              </w:rPr>
              <w:t xml:space="preserve">TPK </w:t>
            </w:r>
            <w:r w:rsidRPr="0082600C">
              <w:rPr>
                <w:b/>
                <w:sz w:val="22"/>
                <w:szCs w:val="22"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proofErr w:type="spellStart"/>
            <w:r w:rsidRPr="0082600C">
              <w:rPr>
                <w:b/>
                <w:sz w:val="22"/>
                <w:szCs w:val="22"/>
              </w:rPr>
              <w:t>Ketua</w:t>
            </w:r>
            <w:proofErr w:type="spellEnd"/>
            <w:r w:rsidRPr="008260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</w:rPr>
              <w:t>Departemen</w:t>
            </w:r>
            <w:proofErr w:type="spellEnd"/>
            <w:r w:rsidRPr="0082600C">
              <w:rPr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</w:tbl>
    <w:p w:rsidR="003E72E2" w:rsidRPr="0082600C" w:rsidRDefault="003E72E2">
      <w:pPr>
        <w:rPr>
          <w:sz w:val="22"/>
          <w:szCs w:val="22"/>
        </w:rPr>
      </w:pP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1256"/>
        <w:gridCol w:w="1209"/>
        <w:gridCol w:w="1068"/>
        <w:gridCol w:w="1241"/>
        <w:gridCol w:w="1020"/>
        <w:gridCol w:w="515"/>
        <w:gridCol w:w="172"/>
        <w:gridCol w:w="516"/>
        <w:gridCol w:w="608"/>
        <w:gridCol w:w="297"/>
        <w:gridCol w:w="953"/>
        <w:gridCol w:w="991"/>
        <w:gridCol w:w="2121"/>
        <w:gridCol w:w="2038"/>
      </w:tblGrid>
      <w:tr w:rsidR="0082600C" w:rsidRPr="0082600C" w:rsidTr="00DD6972">
        <w:trPr>
          <w:trHeight w:val="538"/>
        </w:trPr>
        <w:tc>
          <w:tcPr>
            <w:tcW w:w="14005" w:type="dxa"/>
            <w:gridSpan w:val="14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2600C">
              <w:rPr>
                <w:b/>
                <w:sz w:val="22"/>
                <w:szCs w:val="22"/>
                <w:lang w:val="en-US"/>
              </w:rPr>
              <w:t>RENCANA PEMBELAJARAN SEMESTER</w:t>
            </w: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DD6972">
            <w:pPr>
              <w:rPr>
                <w:b/>
                <w:sz w:val="22"/>
                <w:szCs w:val="22"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Identitas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82600C">
            <w:pPr>
              <w:spacing w:line="276" w:lineRule="auto"/>
              <w:ind w:left="275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Departemen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>/Prodi</w:t>
            </w:r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Psikologi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Nama</w:t>
            </w:r>
            <w:r w:rsidRPr="0082600C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Matakuliah</w:t>
            </w:r>
            <w:proofErr w:type="spellEnd"/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Kesehatan Mental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sz w:val="22"/>
                <w:szCs w:val="22"/>
                <w:lang w:val="en-US"/>
              </w:rPr>
              <w:t>Kode</w:t>
            </w:r>
            <w:proofErr w:type="spellEnd"/>
            <w:r w:rsidRPr="0082600C">
              <w:rPr>
                <w:sz w:val="22"/>
                <w:szCs w:val="22"/>
                <w:lang w:val="id-ID"/>
              </w:rPr>
              <w:t xml:space="preserve"> </w:t>
            </w:r>
            <w:r w:rsidRPr="0082600C">
              <w:rPr>
                <w:sz w:val="22"/>
                <w:szCs w:val="22"/>
                <w:lang w:val="en-US"/>
              </w:rPr>
              <w:t>Mat</w:t>
            </w:r>
            <w:r w:rsidRPr="0082600C">
              <w:rPr>
                <w:sz w:val="22"/>
                <w:szCs w:val="22"/>
                <w:lang w:val="id-ID"/>
              </w:rPr>
              <w:t>a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82600C">
            <w:pPr>
              <w:spacing w:line="276" w:lineRule="auto"/>
              <w:ind w:left="275" w:firstLine="36"/>
              <w:rPr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sz w:val="22"/>
                <w:szCs w:val="22"/>
                <w:lang w:val="en-US"/>
              </w:rPr>
              <w:t>Kelompok</w:t>
            </w:r>
            <w:proofErr w:type="spellEnd"/>
            <w:r w:rsidRPr="0082600C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Matakuliah</w:t>
            </w:r>
            <w:proofErr w:type="spellEnd"/>
            <w:r w:rsidRPr="0082600C">
              <w:rPr>
                <w:sz w:val="22"/>
                <w:szCs w:val="22"/>
                <w:vertAlign w:val="superscript"/>
                <w:lang w:val="en-US"/>
              </w:rPr>
              <w:t>*)</w:t>
            </w:r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44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MKU</w:t>
            </w:r>
          </w:p>
        </w:tc>
        <w:tc>
          <w:tcPr>
            <w:tcW w:w="1021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MKDP</w:t>
            </w:r>
          </w:p>
        </w:tc>
        <w:tc>
          <w:tcPr>
            <w:tcW w:w="1204" w:type="dxa"/>
            <w:gridSpan w:val="3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MKKF</w:t>
            </w:r>
          </w:p>
        </w:tc>
        <w:tc>
          <w:tcPr>
            <w:tcW w:w="905" w:type="dxa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2600C">
              <w:rPr>
                <w:b/>
                <w:bCs/>
                <w:sz w:val="22"/>
                <w:szCs w:val="22"/>
                <w:lang w:val="en-US"/>
              </w:rPr>
              <w:t>MKKP</w:t>
            </w:r>
          </w:p>
        </w:tc>
        <w:tc>
          <w:tcPr>
            <w:tcW w:w="6116" w:type="dxa"/>
            <w:gridSpan w:val="4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MKK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sz w:val="22"/>
                <w:szCs w:val="22"/>
                <w:lang w:val="en-US"/>
              </w:rPr>
              <w:t>Bobot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 xml:space="preserve"> SKS</w:t>
            </w:r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2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sz w:val="22"/>
                <w:szCs w:val="22"/>
                <w:lang w:val="en-US"/>
              </w:rPr>
              <w:t>Jenjang</w:t>
            </w:r>
            <w:proofErr w:type="spellEnd"/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S-1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5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sz w:val="22"/>
                <w:szCs w:val="22"/>
                <w:lang w:val="en-US"/>
              </w:rPr>
              <w:t>Prasyarat</w:t>
            </w:r>
            <w:proofErr w:type="spellEnd"/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Psikologi Umum 1 dan 2, Psikologi Sosial 1 dan 2, serta Psikologi Abnormal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82600C">
            <w:pPr>
              <w:spacing w:line="276" w:lineRule="auto"/>
              <w:ind w:left="275" w:firstLine="36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Status (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Wajib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Pilihan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>)</w:t>
            </w:r>
            <w:r w:rsidRPr="0082600C">
              <w:rPr>
                <w:sz w:val="22"/>
                <w:szCs w:val="22"/>
                <w:vertAlign w:val="superscript"/>
                <w:lang w:val="en-US"/>
              </w:rPr>
              <w:t xml:space="preserve"> *)</w:t>
            </w:r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952" w:type="dxa"/>
            <w:gridSpan w:val="4"/>
          </w:tcPr>
          <w:p w:rsidR="0082600C" w:rsidRPr="0082600C" w:rsidRDefault="0082600C" w:rsidP="00DD6972">
            <w:pPr>
              <w:spacing w:line="276" w:lineRule="auto"/>
              <w:rPr>
                <w:b/>
                <w:bCs/>
                <w:sz w:val="22"/>
                <w:szCs w:val="22"/>
                <w:lang w:val="id-ID"/>
              </w:rPr>
            </w:pPr>
            <w:r w:rsidRPr="0082600C">
              <w:rPr>
                <w:b/>
                <w:bCs/>
                <w:sz w:val="22"/>
                <w:szCs w:val="22"/>
                <w:lang w:val="id-ID"/>
              </w:rPr>
              <w:t>Wajib</w:t>
            </w:r>
          </w:p>
        </w:tc>
        <w:tc>
          <w:tcPr>
            <w:tcW w:w="7538" w:type="dxa"/>
            <w:gridSpan w:val="7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82600C">
            <w:pPr>
              <w:spacing w:line="276" w:lineRule="auto"/>
              <w:ind w:left="275" w:firstLine="36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Kode</w:t>
            </w:r>
            <w:proofErr w:type="spellEnd"/>
            <w:r w:rsidRPr="008260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  <w:lang w:val="en-US"/>
              </w:rPr>
              <w:t>Dosen</w:t>
            </w:r>
            <w:proofErr w:type="spellEnd"/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077" w:type="dxa"/>
            <w:gridSpan w:val="6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Anastasia </w:t>
            </w:r>
            <w:proofErr w:type="spellStart"/>
            <w:r>
              <w:rPr>
                <w:sz w:val="22"/>
                <w:szCs w:val="22"/>
                <w:lang w:val="en-US"/>
              </w:rPr>
              <w:t>Wulandari</w:t>
            </w:r>
            <w:proofErr w:type="spellEnd"/>
            <w:r>
              <w:rPr>
                <w:sz w:val="22"/>
                <w:szCs w:val="22"/>
                <w:lang w:val="en-US"/>
              </w:rPr>
              <w:t>, M. Psi.</w:t>
            </w:r>
          </w:p>
        </w:tc>
        <w:tc>
          <w:tcPr>
            <w:tcW w:w="6413" w:type="dxa"/>
            <w:gridSpan w:val="5"/>
          </w:tcPr>
          <w:p w:rsidR="0082600C" w:rsidRPr="00556AB0" w:rsidRDefault="00556AB0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2530</w:t>
            </w:r>
          </w:p>
        </w:tc>
      </w:tr>
      <w:tr w:rsidR="0082600C" w:rsidRPr="0082600C" w:rsidTr="00DD6972">
        <w:tc>
          <w:tcPr>
            <w:tcW w:w="2443" w:type="dxa"/>
            <w:gridSpan w:val="2"/>
          </w:tcPr>
          <w:p w:rsidR="0082600C" w:rsidRPr="0082600C" w:rsidRDefault="0082600C" w:rsidP="00DD6972">
            <w:pPr>
              <w:spacing w:line="276" w:lineRule="auto"/>
              <w:ind w:firstLine="311"/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90" w:type="dxa"/>
            <w:gridSpan w:val="11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DD6972">
            <w:pPr>
              <w:rPr>
                <w:b/>
                <w:sz w:val="22"/>
                <w:szCs w:val="22"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82600C">
              <w:rPr>
                <w:rFonts w:ascii="Times New Roman" w:hAnsi="Times New Roman" w:cs="Times New Roman"/>
                <w:b/>
                <w:lang w:val="en-US"/>
              </w:rPr>
              <w:t>Mata</w:t>
            </w:r>
            <w:r w:rsidRPr="0082600C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kuliah</w:t>
            </w:r>
            <w:proofErr w:type="spellEnd"/>
          </w:p>
          <w:p w:rsidR="0082600C" w:rsidRPr="00B4044D" w:rsidRDefault="00B4044D" w:rsidP="00B4044D">
            <w:pPr>
              <w:ind w:left="540"/>
              <w:jc w:val="both"/>
              <w:rPr>
                <w:sz w:val="22"/>
                <w:szCs w:val="22"/>
                <w:lang w:val="en-US"/>
              </w:rPr>
            </w:pPr>
            <w:r w:rsidRPr="00622BBE">
              <w:rPr>
                <w:lang w:val="sv-SE"/>
              </w:rPr>
              <w:t xml:space="preserve">Dalam perkuliahan </w:t>
            </w:r>
            <w:r>
              <w:rPr>
                <w:lang w:val="sv-SE"/>
              </w:rPr>
              <w:t xml:space="preserve">ini </w:t>
            </w:r>
            <w:r w:rsidRPr="00622BBE">
              <w:rPr>
                <w:lang w:val="sv-SE"/>
              </w:rPr>
              <w:t xml:space="preserve">dibahas tentang </w:t>
            </w:r>
            <w:r>
              <w:rPr>
                <w:lang w:val="id-ID"/>
              </w:rPr>
              <w:t xml:space="preserve">pengantar, prinsip, dan teori kesehatan mental; konsep sehat dan sakit; perilaku manusia termasuk respons emosional, mekanisme coping, </w:t>
            </w:r>
            <w:r w:rsidR="002F3223">
              <w:rPr>
                <w:lang w:val="en-US"/>
              </w:rPr>
              <w:t xml:space="preserve"> </w:t>
            </w:r>
            <w:proofErr w:type="spellStart"/>
            <w:r w:rsidR="002F3223">
              <w:rPr>
                <w:lang w:val="en-US"/>
              </w:rPr>
              <w:t>serta</w:t>
            </w:r>
            <w:proofErr w:type="spellEnd"/>
            <w:r w:rsidR="002F3223">
              <w:rPr>
                <w:lang w:val="en-US"/>
              </w:rPr>
              <w:t xml:space="preserve"> </w:t>
            </w:r>
            <w:proofErr w:type="spellStart"/>
            <w:r w:rsidR="002F3223">
              <w:rPr>
                <w:lang w:val="en-US"/>
              </w:rPr>
              <w:t>pelayanan</w:t>
            </w:r>
            <w:proofErr w:type="spellEnd"/>
            <w:r w:rsidR="002F3223">
              <w:rPr>
                <w:lang w:val="en-US"/>
              </w:rPr>
              <w:t xml:space="preserve"> </w:t>
            </w:r>
            <w:proofErr w:type="spellStart"/>
            <w:r w:rsidR="002F3223">
              <w:rPr>
                <w:lang w:val="en-US"/>
              </w:rPr>
              <w:t>kesehatan</w:t>
            </w:r>
            <w:proofErr w:type="spellEnd"/>
            <w:r w:rsidR="002F3223">
              <w:rPr>
                <w:lang w:val="en-US"/>
              </w:rPr>
              <w:t xml:space="preserve"> mental </w:t>
            </w:r>
            <w:proofErr w:type="spellStart"/>
            <w:r w:rsidR="002F3223">
              <w:rPr>
                <w:lang w:val="en-US"/>
              </w:rPr>
              <w:t>kepada</w:t>
            </w:r>
            <w:proofErr w:type="spellEnd"/>
            <w:r w:rsidR="002F3223">
              <w:rPr>
                <w:lang w:val="en-US"/>
              </w:rPr>
              <w:t xml:space="preserve"> </w:t>
            </w:r>
            <w:proofErr w:type="spellStart"/>
            <w:r w:rsidR="002F3223">
              <w:rPr>
                <w:lang w:val="en-US"/>
              </w:rPr>
              <w:t>masyarakat</w:t>
            </w:r>
            <w:proofErr w:type="spellEnd"/>
            <w:r w:rsidR="002F3223">
              <w:rPr>
                <w:lang w:val="en-US"/>
              </w:rPr>
              <w:t>.</w:t>
            </w: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DD6972">
            <w:pPr>
              <w:rPr>
                <w:b/>
                <w:sz w:val="22"/>
                <w:szCs w:val="22"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Program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Studi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(CPPS) – </w:t>
            </w:r>
            <w:r w:rsidRPr="0082600C">
              <w:rPr>
                <w:rFonts w:ascii="Times New Roman" w:hAnsi="Times New Roman" w:cs="Times New Roman"/>
                <w:b/>
                <w:i/>
                <w:lang w:val="en-US"/>
              </w:rPr>
              <w:t>Program Learning Outcome</w:t>
            </w:r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(PLO)</w:t>
            </w:r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  <w:iCs/>
              </w:rPr>
            </w:pPr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S15 : </w:t>
            </w:r>
            <w:proofErr w:type="spellStart"/>
            <w:r w:rsidRPr="0082600C">
              <w:rPr>
                <w:rFonts w:ascii="Times New Roman" w:hAnsi="Times New Roman" w:cs="Times New Roman"/>
              </w:rPr>
              <w:t>Menjadi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pembelajar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sepanjang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hayat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600C">
              <w:rPr>
                <w:rFonts w:ascii="Times New Roman" w:hAnsi="Times New Roman" w:cs="Times New Roman"/>
                <w:i/>
              </w:rPr>
              <w:t>life long</w:t>
            </w:r>
            <w:proofErr w:type="spellEnd"/>
            <w:r w:rsidRPr="0082600C">
              <w:rPr>
                <w:rFonts w:ascii="Times New Roman" w:hAnsi="Times New Roman" w:cs="Times New Roman"/>
                <w:i/>
              </w:rPr>
              <w:t xml:space="preserve"> learners</w:t>
            </w:r>
            <w:r w:rsidRPr="0082600C">
              <w:rPr>
                <w:rFonts w:ascii="Times New Roman" w:hAnsi="Times New Roman" w:cs="Times New Roman"/>
                <w:iCs/>
              </w:rPr>
              <w:t>)</w:t>
            </w:r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</w:rPr>
            </w:pPr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P6   : </w:t>
            </w:r>
            <w:proofErr w:type="spellStart"/>
            <w:r w:rsidRPr="0082600C">
              <w:rPr>
                <w:rFonts w:ascii="Times New Roman" w:hAnsi="Times New Roman" w:cs="Times New Roman"/>
              </w:rPr>
              <w:t>Menguasai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konsep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teoritis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tentang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mental </w:t>
            </w:r>
            <w:proofErr w:type="spellStart"/>
            <w:r w:rsidRPr="0082600C">
              <w:rPr>
                <w:rFonts w:ascii="Times New Roman" w:hAnsi="Times New Roman" w:cs="Times New Roman"/>
              </w:rPr>
              <w:t>dan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psikopatologi</w:t>
            </w:r>
            <w:proofErr w:type="spellEnd"/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</w:rPr>
            </w:pPr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P8   : </w:t>
            </w:r>
            <w:proofErr w:type="spellStart"/>
            <w:r w:rsidRPr="0082600C">
              <w:rPr>
                <w:rFonts w:ascii="Times New Roman" w:hAnsi="Times New Roman" w:cs="Times New Roman"/>
              </w:rPr>
              <w:t>Menguasai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konsep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teoritis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hubungan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manusia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dengan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sosialnya</w:t>
            </w:r>
            <w:proofErr w:type="spellEnd"/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  <w:r w:rsidRPr="0082600C">
              <w:rPr>
                <w:rFonts w:ascii="Times New Roman" w:hAnsi="Times New Roman" w:cs="Times New Roman"/>
                <w:b/>
                <w:lang w:val="en-US"/>
              </w:rPr>
              <w:t>KK3:</w:t>
            </w:r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Mampu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kemampuan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kepemimpinan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dalam</w:t>
            </w:r>
            <w:proofErr w:type="spellEnd"/>
            <w:r w:rsidRPr="0082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</w:rPr>
              <w:t>diri</w:t>
            </w:r>
            <w:proofErr w:type="spellEnd"/>
          </w:p>
          <w:p w:rsidR="0082600C" w:rsidRPr="0082600C" w:rsidRDefault="0082600C" w:rsidP="0082600C">
            <w:pPr>
              <w:rPr>
                <w:sz w:val="22"/>
                <w:szCs w:val="22"/>
                <w:lang w:val="en-US"/>
              </w:rPr>
            </w:pP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DD6972">
            <w:pPr>
              <w:rPr>
                <w:b/>
                <w:sz w:val="22"/>
                <w:szCs w:val="22"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(CPM) – </w:t>
            </w:r>
            <w:r w:rsidRPr="0082600C">
              <w:rPr>
                <w:rFonts w:ascii="Times New Roman" w:hAnsi="Times New Roman" w:cs="Times New Roman"/>
                <w:b/>
                <w:i/>
                <w:lang w:val="en-US"/>
              </w:rPr>
              <w:t>Course Learning Outcome</w:t>
            </w:r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(CLO)</w:t>
            </w:r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600C" w:rsidRPr="0082600C" w:rsidRDefault="0082600C" w:rsidP="00DD6972">
            <w:pPr>
              <w:spacing w:after="160" w:line="259" w:lineRule="auto"/>
              <w:ind w:left="311"/>
              <w:rPr>
                <w:sz w:val="22"/>
                <w:szCs w:val="22"/>
              </w:rPr>
            </w:pPr>
            <w:proofErr w:type="spellStart"/>
            <w:r w:rsidRPr="0082600C">
              <w:rPr>
                <w:sz w:val="22"/>
                <w:szCs w:val="22"/>
              </w:rPr>
              <w:t>Nomor</w:t>
            </w:r>
            <w:proofErr w:type="spellEnd"/>
            <w:r w:rsidRPr="0082600C">
              <w:rPr>
                <w:sz w:val="22"/>
                <w:szCs w:val="22"/>
              </w:rPr>
              <w:t xml:space="preserve"> CPM </w:t>
            </w:r>
            <w:proofErr w:type="spellStart"/>
            <w:r w:rsidRPr="0082600C">
              <w:rPr>
                <w:sz w:val="22"/>
                <w:szCs w:val="22"/>
              </w:rPr>
              <w:t>harus</w:t>
            </w:r>
            <w:proofErr w:type="spellEnd"/>
            <w:r w:rsidRPr="0082600C">
              <w:rPr>
                <w:sz w:val="22"/>
                <w:szCs w:val="22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</w:rPr>
              <w:t>mengikuti</w:t>
            </w:r>
            <w:proofErr w:type="spellEnd"/>
            <w:r w:rsidRPr="0082600C">
              <w:rPr>
                <w:sz w:val="22"/>
                <w:szCs w:val="22"/>
              </w:rPr>
              <w:t xml:space="preserve"> </w:t>
            </w:r>
            <w:proofErr w:type="spellStart"/>
            <w:r w:rsidRPr="0082600C">
              <w:rPr>
                <w:sz w:val="22"/>
                <w:szCs w:val="22"/>
              </w:rPr>
              <w:t>nomor</w:t>
            </w:r>
            <w:proofErr w:type="spellEnd"/>
            <w:r w:rsidRPr="0082600C">
              <w:rPr>
                <w:sz w:val="22"/>
                <w:szCs w:val="22"/>
              </w:rPr>
              <w:t xml:space="preserve"> CPPS yang </w:t>
            </w:r>
            <w:proofErr w:type="spellStart"/>
            <w:r w:rsidRPr="0082600C">
              <w:rPr>
                <w:sz w:val="22"/>
                <w:szCs w:val="22"/>
              </w:rPr>
              <w:t>dirujuk</w:t>
            </w:r>
            <w:proofErr w:type="spellEnd"/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Sikap</w:t>
            </w:r>
            <w:proofErr w:type="spellEnd"/>
          </w:p>
          <w:p w:rsidR="0082600C" w:rsidRPr="0082600C" w:rsidRDefault="0082600C" w:rsidP="0082600C">
            <w:pPr>
              <w:pStyle w:val="ListParagraph"/>
              <w:ind w:left="67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manusia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memiliki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memperbaiki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diri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memperbaiki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diri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dibutuhkan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pengetahuan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sehingga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setiap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manusia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banyak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lahir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sampai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hayatnya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Pengetahuan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akan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membimbingnya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agar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memiliki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arah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tujuan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baik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proses yang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sehin</w:t>
            </w:r>
            <w:r w:rsidRPr="0082600C">
              <w:rPr>
                <w:rFonts w:ascii="Times New Roman" w:hAnsi="Times New Roman" w:cs="Times New Roman"/>
                <w:lang w:val="en-US"/>
              </w:rPr>
              <w:t>gga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memiliki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mental yang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sehat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2600C" w:rsidRPr="0082600C" w:rsidRDefault="0082600C" w:rsidP="0082600C">
            <w:pPr>
              <w:pStyle w:val="ListParagraph"/>
              <w:ind w:left="671"/>
              <w:rPr>
                <w:rFonts w:ascii="Times New Roman" w:hAnsi="Times New Roman" w:cs="Times New Roman"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Pengetahuan</w:t>
            </w:r>
            <w:proofErr w:type="spellEnd"/>
          </w:p>
          <w:p w:rsidR="0082600C" w:rsidRPr="0082600C" w:rsidRDefault="0082600C" w:rsidP="00DD6972">
            <w:pPr>
              <w:pStyle w:val="ListParagraph"/>
              <w:ind w:left="67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Memiliki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pengetahuan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mengenai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sehat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mental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tersebut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proses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mencapai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mental yang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sehat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serta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memiliki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hubungan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sehat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lingkungannya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tentang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kelebihan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kekurangan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diri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serta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memperbaikinya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lebih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efektif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82600C" w:rsidRPr="0082600C" w:rsidRDefault="0082600C" w:rsidP="00DD6972">
            <w:pPr>
              <w:pStyle w:val="ListParagraph"/>
              <w:ind w:left="67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Keterampilan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Khusus</w:t>
            </w:r>
            <w:proofErr w:type="spellEnd"/>
          </w:p>
          <w:p w:rsidR="0082600C" w:rsidRPr="0082600C" w:rsidRDefault="0082600C" w:rsidP="00DD6972">
            <w:pPr>
              <w:ind w:left="635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Capaian yang ingin diperoleh pada mata kuliah ini adalah :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5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Memiliki pemahaman akan definisi, kriteria dan ciri-ciri sehat mental serta sejarah terbentuknya bidang kesehatan mental, perbedaan antara sehat mental dan mental hygiene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5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 xml:space="preserve">Istilah dan konsep mental yang sehat dikaitkan dengan konsep psikologis lainnya yaitu, diatas rata-rata, resiliensi, kecerdasan sosial dan emosional, psikologi positif serta kesejahteraan subjektif 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5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lastRenderedPageBreak/>
              <w:t>Memiliki pemahaman akan kondisi dan faktor-faktor penentu sehat mental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5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Memiliki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pengetahuan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mengenai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k</w:t>
            </w:r>
            <w:r w:rsidRPr="0082600C">
              <w:rPr>
                <w:rFonts w:ascii="Times New Roman" w:hAnsi="Times New Roman" w:cs="Times New Roman"/>
                <w:lang w:val="id-ID"/>
              </w:rPr>
              <w:t>esehatan mental di keluarga dan masyarakat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5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82600C">
              <w:rPr>
                <w:rFonts w:ascii="Times New Roman" w:hAnsi="Times New Roman" w:cs="Times New Roman"/>
                <w:lang w:val="id-ID"/>
              </w:rPr>
              <w:t xml:space="preserve">ara penanganan dan hasil evaluasi dari program pelayanan kesehatan mental 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85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82600C"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 w:rsidRPr="0082600C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Pr="0082600C">
              <w:rPr>
                <w:rFonts w:ascii="Times New Roman" w:hAnsi="Times New Roman" w:cs="Times New Roman"/>
                <w:lang w:val="id-ID"/>
              </w:rPr>
              <w:t>agaimana memberikan pelayanan kesehatan mental yang lebih baik</w:t>
            </w:r>
          </w:p>
          <w:p w:rsidR="0082600C" w:rsidRPr="0082600C" w:rsidRDefault="0082600C" w:rsidP="00DD6972">
            <w:pPr>
              <w:rPr>
                <w:sz w:val="22"/>
                <w:szCs w:val="22"/>
                <w:lang w:val="id-ID"/>
              </w:rPr>
            </w:pP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DD6972">
            <w:pPr>
              <w:rPr>
                <w:b/>
                <w:sz w:val="22"/>
                <w:szCs w:val="22"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Rencana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en-US"/>
              </w:rPr>
            </w:pPr>
          </w:p>
        </w:tc>
      </w:tr>
      <w:tr w:rsidR="0082600C" w:rsidRPr="0082600C" w:rsidTr="00DD6972">
        <w:tc>
          <w:tcPr>
            <w:tcW w:w="1234" w:type="dxa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Pertemuan</w:t>
            </w:r>
            <w:proofErr w:type="spellEnd"/>
            <w:r w:rsidRPr="0082600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8260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81" w:type="dxa"/>
            <w:gridSpan w:val="2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82600C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Capaian</w:t>
            </w:r>
            <w:proofErr w:type="spellEnd"/>
            <w:r w:rsidRPr="0082600C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Pembelajaran</w:t>
            </w:r>
            <w:proofErr w:type="spellEnd"/>
            <w:r w:rsidRPr="0082600C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Matakuliah</w:t>
            </w:r>
            <w:proofErr w:type="spellEnd"/>
          </w:p>
        </w:tc>
        <w:tc>
          <w:tcPr>
            <w:tcW w:w="2780" w:type="dxa"/>
            <w:gridSpan w:val="3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Bahan</w:t>
            </w:r>
            <w:proofErr w:type="spellEnd"/>
            <w:r w:rsidRPr="0082600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Kajian</w:t>
            </w:r>
            <w:proofErr w:type="spellEnd"/>
          </w:p>
        </w:tc>
        <w:tc>
          <w:tcPr>
            <w:tcW w:w="2552" w:type="dxa"/>
            <w:gridSpan w:val="5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Bentuk</w:t>
            </w:r>
            <w:proofErr w:type="spellEnd"/>
            <w:r w:rsidRPr="0082600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Pembelajaran</w:t>
            </w:r>
            <w:proofErr w:type="spellEnd"/>
          </w:p>
        </w:tc>
        <w:tc>
          <w:tcPr>
            <w:tcW w:w="992" w:type="dxa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Waktu</w:t>
            </w:r>
            <w:proofErr w:type="spellEnd"/>
          </w:p>
        </w:tc>
        <w:tc>
          <w:tcPr>
            <w:tcW w:w="2126" w:type="dxa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Tugas</w:t>
            </w:r>
            <w:proofErr w:type="spellEnd"/>
            <w:r w:rsidRPr="0082600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dan</w:t>
            </w:r>
            <w:proofErr w:type="spellEnd"/>
            <w:r w:rsidRPr="0082600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2040" w:type="dxa"/>
            <w:vAlign w:val="center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600C">
              <w:rPr>
                <w:b/>
                <w:sz w:val="22"/>
                <w:szCs w:val="22"/>
                <w:lang w:val="en-US"/>
              </w:rPr>
              <w:t>Rujukan</w:t>
            </w:r>
            <w:proofErr w:type="spellEnd"/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aturan selama perkuliahan dan materi yang akan dipelajari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Orientasi Perkuliahan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Diskusi dan penetapan aturan yang disepakati bersama serta materi yang akan dipelajari selama perkuliahan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30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2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82600C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spacing w:after="0" w:line="276" w:lineRule="auto"/>
              <w:ind w:left="331" w:hanging="331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Mahasiswa memahami definisi, kriteria dan ciri-ciri individu yang sehat mental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spacing w:after="0" w:line="276" w:lineRule="auto"/>
              <w:ind w:left="331" w:hanging="331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Mahasiswa memahami perbedaan sehat mental dan mental hygiene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spacing w:after="0" w:line="276" w:lineRule="auto"/>
              <w:ind w:left="331" w:hanging="331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Mahasiswa mengetahui sejarah dan tokoh gerakan kesehatan mental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82600C">
            <w:pPr>
              <w:pStyle w:val="ListParagraph"/>
              <w:numPr>
                <w:ilvl w:val="0"/>
                <w:numId w:val="5"/>
              </w:numPr>
              <w:tabs>
                <w:tab w:val="left" w:pos="177"/>
              </w:tabs>
              <w:spacing w:after="0" w:line="276" w:lineRule="auto"/>
              <w:ind w:left="176" w:hanging="284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Definisi, kriteria, ciri-ciri sehat mental dan sejarah serta tokoh kesehatan mental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5"/>
              </w:numPr>
              <w:tabs>
                <w:tab w:val="left" w:pos="177"/>
              </w:tabs>
              <w:spacing w:after="0" w:line="276" w:lineRule="auto"/>
              <w:ind w:left="177" w:hanging="284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Perbedaan sehat mental dan mental hygiene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Ceramah 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William Glasser. 2005. Defining Mental Health as a Public Health Problem; A New Leadership Role for The Helping Professions.</w:t>
            </w:r>
          </w:p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</w:p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Alexander A. Personal Adjustment and Mental Health, Chapter 17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3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82600C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after="0" w:line="276" w:lineRule="auto"/>
              <w:ind w:left="331" w:hanging="426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 xml:space="preserve">Mahasiswa </w:t>
            </w:r>
            <w:r w:rsidRPr="0082600C">
              <w:rPr>
                <w:rFonts w:ascii="Times New Roman" w:hAnsi="Times New Roman" w:cs="Times New Roman"/>
                <w:lang w:val="id-ID"/>
              </w:rPr>
              <w:lastRenderedPageBreak/>
              <w:t xml:space="preserve">memahami istilah sehat mental dikaitkan dengan istilah lain dalam Psikologi </w:t>
            </w: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spacing w:after="0" w:line="276" w:lineRule="auto"/>
              <w:ind w:left="331" w:hanging="426"/>
              <w:rPr>
                <w:rFonts w:ascii="Times New Roman" w:hAnsi="Times New Roman" w:cs="Times New Roman"/>
                <w:lang w:val="id-ID"/>
              </w:rPr>
            </w:pPr>
            <w:r w:rsidRPr="0082600C">
              <w:rPr>
                <w:rFonts w:ascii="Times New Roman" w:hAnsi="Times New Roman" w:cs="Times New Roman"/>
                <w:lang w:val="id-ID"/>
              </w:rPr>
              <w:t>Mahasiswa memahami kondisi sehat mental dari sudut pandang Psikoanalisa, Behavioristik dan Humanistik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 xml:space="preserve">Istilah atau model dalam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kesehatan mental (mental health as above normal, mental health as positive psychology, mental health as maturity, mental health as social&amp;emotional intelligence, mental health as subjective well-being, mental health as resilience), sehat mental menurut 3 mazhab psikologi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>Ceramah 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100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 xml:space="preserve">Membaca artikel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yang terkait dengan materi yang dipelajari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 xml:space="preserve">Artikel-artikel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penelitian/review literatur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 xml:space="preserve">4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memiliki pemahaman akan definisi penyesuaian, kriteria umum dan khusus tentang kesesuaian, penyesuaian sebagai realitas dan moralitas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Definisi adjusment dan maladjustment, kriteria umum dan khusus penyesuaian. Arti dari penyesuaian, Penyesuaian sebagai relatifitas dan moralitas. 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Ceramah </w:t>
            </w:r>
            <w:bookmarkStart w:id="0" w:name="_GoBack"/>
            <w:bookmarkEnd w:id="0"/>
            <w:r w:rsidRPr="0082600C">
              <w:rPr>
                <w:sz w:val="22"/>
                <w:szCs w:val="22"/>
                <w:lang w:val="id-ID"/>
              </w:rPr>
              <w:t>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Alexander A. Schneiders, Personal Adjustment and Mental Health Chapter 4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5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permasalahan yang mempengaruhi penyesuaian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Kondisi dan determinan penyesuaian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Ceramah 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Alexander A. Schneiders, Personal Adjustment and Mental Health Chapter 6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bahwa lingkungan sosial/budaya memiliki kontribusi terhadap kesehatan mental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Kesehatan mental di masyarakat dan keluarga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Ceramah 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Kate Loewenthal. 2006. Religion, Culture and Mental Health, Chapter 1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Mahasiswa memahami perlakuan-perlakuan yang dapat meningkatkan mental yang sehat 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Etika dalam Pelayanan Kesehatan Mental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Ceramah 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Thornicroft, Graham &amp; Tansella, Michelle. 2009. Better Mental Health Care. Chapter 4: The ethical base for mental health care. Cambridge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8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dan mempraktekkan salah satu cara meningkatkan mental yang sehat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Self dan time manajement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Ceramah dan tanya jawab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Membuat perencanaan jangka pendek bersama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Thomas L. Creer. 1997. Psychology of Adjustment, An Applied Approach, Chapter 11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9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UTS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60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Essay dan isian singkat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10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bahwa simptom depresi dan cara mencari pertolongan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Pengetahuan tentang depresi dan cara mencari pertolongan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Presentasi kelompok dan diskusi kelas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Penampilan saat presentasi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rFonts w:eastAsia="AdvTimes"/>
                <w:sz w:val="22"/>
                <w:szCs w:val="22"/>
                <w:lang w:val="id-ID"/>
              </w:rPr>
            </w:pPr>
            <w:r w:rsidRPr="0082600C">
              <w:rPr>
                <w:rFonts w:eastAsia="AdvTimes"/>
                <w:sz w:val="22"/>
                <w:szCs w:val="22"/>
                <w:lang w:val="id-ID"/>
              </w:rPr>
              <w:t>John R. Burnsa,b, Ronald M. Rapee. 2006. Adolescent mental health literacy: Young people’s knowledge</w:t>
            </w:r>
          </w:p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rFonts w:eastAsia="AdvTimes"/>
                <w:sz w:val="22"/>
                <w:szCs w:val="22"/>
                <w:lang w:val="id-ID"/>
              </w:rPr>
              <w:t>of depression and help seeking. Journal of Adolescence 29 (2006) 225–239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11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Mahasiswa memahami pengaruh faktor personal dan iklim penghukuman terhadap simptom sehat mental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pada remaja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>Faktor personal dan iklim penghukuman terhadap simptom sehat mental pada remaja (penelitian longitudinal)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Presentasi kelompok dan diskusi kelas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Penampilan saat presentasi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Leonel C. Gonçalves, Jérôme Endrass, Astrid Rossegger and Anja J. E. Dirkzwager. A longitudinal study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of mental health</w:t>
            </w:r>
          </w:p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symptoms in young prisoners: exploring</w:t>
            </w:r>
          </w:p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the influence of personal factors and the correctional climate. BMC Psychiatry (2016) 16:91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 xml:space="preserve">12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permasalahan kesehatan mental pada remaja di Amerika Serikat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id-ID"/>
              </w:rPr>
            </w:pPr>
            <w:r w:rsidRPr="0082600C">
              <w:rPr>
                <w:bCs/>
                <w:sz w:val="22"/>
                <w:szCs w:val="22"/>
                <w:lang w:val="id-ID"/>
              </w:rPr>
              <w:t>Abortion, substance abuse and mental health in early adulthood: Thirteen-year longitudinal evidence from the United States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Presentasi kelompok dan diskusi kelas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Penampilan saat presentasi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  <w:r w:rsidRPr="0082600C">
              <w:rPr>
                <w:bCs/>
                <w:sz w:val="22"/>
                <w:szCs w:val="22"/>
                <w:lang w:val="id-ID"/>
              </w:rPr>
              <w:t>Donald Paul Sullins. 2016.</w:t>
            </w:r>
            <w:r w:rsidRPr="0082600C">
              <w:rPr>
                <w:sz w:val="22"/>
                <w:szCs w:val="22"/>
                <w:lang w:val="id-ID"/>
              </w:rPr>
              <w:t xml:space="preserve"> SAGE Open Medicine</w:t>
            </w:r>
          </w:p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Volume 4: 1–11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13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Mahasiswa memahami pelayanan kesehatan mental pada anak dan remaja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Establishing consistency and best practice in thecare of children and adolescents with eating disorders: developments at the Mater Children’s Hospital (MCH) and Mater Child and Youth</w:t>
            </w:r>
          </w:p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Mental Health Service (CYMHS)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Presentasi kelompok dan diskusi kelas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Penampilan saat presentasi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Kelly Lamb &amp; Suzi Scholey. 2013. Lamb and Scholey Journal of Eating Disorders, 1(Suppl 1):O61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14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Mahasiswa memahami apa saja peran profesi kesehatan mental untuk memberikan pelayanan yang baik 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Peran Utama Profesi Kesehatan Mental untuk Pelayanan yang lebih baik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Presentasi kelompok dan diskusi kelas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Penampilan saat presentasi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Graham Thornicroft &amp; Michele Tansella. 2009. Better Mental Health Care, Chapter 13. Cambridge University Press. 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15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Mahasiswa mengetahui cara menyampaikan informasi tentang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kesehatan mental dan pelayanannya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>Aksi Penyampaian informasi bagi Pelayanan Kesehatan Mental yang lebih baik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Presentasi kelompok dan diskusi kelas</w:t>
            </w: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100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>Penampilan saat presentasi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Graham Thornicroft &amp; Michele Tansella. 2009. Better Mental Health Care, </w:t>
            </w:r>
            <w:r w:rsidRPr="0082600C">
              <w:rPr>
                <w:sz w:val="22"/>
                <w:szCs w:val="22"/>
                <w:lang w:val="id-ID"/>
              </w:rPr>
              <w:lastRenderedPageBreak/>
              <w:t>Chapter 14. Cambridge University Press.</w:t>
            </w:r>
          </w:p>
        </w:tc>
      </w:tr>
      <w:tr w:rsidR="0082600C" w:rsidRPr="0082600C" w:rsidTr="00DD6972">
        <w:tc>
          <w:tcPr>
            <w:tcW w:w="1234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2600C">
              <w:rPr>
                <w:sz w:val="22"/>
                <w:szCs w:val="22"/>
                <w:lang w:val="id-ID"/>
              </w:rPr>
              <w:lastRenderedPageBreak/>
              <w:t xml:space="preserve">16 </w:t>
            </w:r>
          </w:p>
        </w:tc>
        <w:tc>
          <w:tcPr>
            <w:tcW w:w="2281" w:type="dxa"/>
            <w:gridSpan w:val="2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780" w:type="dxa"/>
            <w:gridSpan w:val="3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UAS</w:t>
            </w:r>
          </w:p>
        </w:tc>
        <w:tc>
          <w:tcPr>
            <w:tcW w:w="2552" w:type="dxa"/>
            <w:gridSpan w:val="5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60 menit</w:t>
            </w:r>
          </w:p>
        </w:tc>
        <w:tc>
          <w:tcPr>
            <w:tcW w:w="2126" w:type="dxa"/>
          </w:tcPr>
          <w:p w:rsidR="0082600C" w:rsidRPr="0082600C" w:rsidRDefault="0082600C" w:rsidP="00DD6972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2040" w:type="dxa"/>
          </w:tcPr>
          <w:p w:rsidR="0082600C" w:rsidRPr="0082600C" w:rsidRDefault="0082600C" w:rsidP="00DD6972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-</w:t>
            </w: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Daftar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Rujukan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2600C" w:rsidRPr="0082600C" w:rsidRDefault="0082600C" w:rsidP="00DD697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Schneiders, Alexander A. 1955. Personal Adjustment and Mental Health. USA. 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 xml:space="preserve">Creer,Thomas L. 1997. Psychology of Adjustment, An Applied Approach. 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Loewenthal , Kate. 2006. Religion, Culture and Mental Health.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Glasser, William. 2005. Defining Mental Health as a Public Health Problem; A New Leadership Role for The Helping Professions.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Thornicroft, Graham &amp; Tansella, Michele. 2009. Better Mental Health Care. Cambridge University Press.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Ajar (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1)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PPT terlampir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en-US"/>
              </w:rPr>
            </w:pPr>
          </w:p>
        </w:tc>
      </w:tr>
      <w:tr w:rsidR="0082600C" w:rsidRPr="0082600C" w:rsidTr="00DD6972">
        <w:tc>
          <w:tcPr>
            <w:tcW w:w="14005" w:type="dxa"/>
            <w:gridSpan w:val="14"/>
          </w:tcPr>
          <w:p w:rsidR="0082600C" w:rsidRPr="0082600C" w:rsidRDefault="0082600C" w:rsidP="00826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Instrumen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82600C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82600C">
              <w:rPr>
                <w:rFonts w:ascii="Times New Roman" w:hAnsi="Times New Roman" w:cs="Times New Roman"/>
                <w:b/>
                <w:lang w:val="en-US"/>
              </w:rPr>
              <w:t xml:space="preserve"> 2)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id-ID"/>
              </w:rPr>
            </w:pPr>
            <w:r w:rsidRPr="0082600C">
              <w:rPr>
                <w:sz w:val="22"/>
                <w:szCs w:val="22"/>
                <w:lang w:val="id-ID"/>
              </w:rPr>
              <w:t>Soal UTS dan UAS terlampir</w:t>
            </w:r>
          </w:p>
          <w:p w:rsidR="0082600C" w:rsidRPr="0082600C" w:rsidRDefault="0082600C" w:rsidP="00DD6972">
            <w:pPr>
              <w:ind w:left="311"/>
              <w:rPr>
                <w:sz w:val="22"/>
                <w:szCs w:val="22"/>
                <w:lang w:val="en-US"/>
              </w:rPr>
            </w:pPr>
          </w:p>
        </w:tc>
      </w:tr>
    </w:tbl>
    <w:p w:rsidR="0082600C" w:rsidRPr="0082600C" w:rsidRDefault="0082600C">
      <w:pPr>
        <w:rPr>
          <w:sz w:val="22"/>
          <w:szCs w:val="22"/>
        </w:rPr>
      </w:pPr>
    </w:p>
    <w:sectPr w:rsidR="0082600C" w:rsidRPr="0082600C" w:rsidSect="0082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49D"/>
    <w:multiLevelType w:val="hybridMultilevel"/>
    <w:tmpl w:val="59A21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842D4"/>
    <w:multiLevelType w:val="hybridMultilevel"/>
    <w:tmpl w:val="610EE840"/>
    <w:lvl w:ilvl="0" w:tplc="53F8A766">
      <w:start w:val="1"/>
      <w:numFmt w:val="lowerLetter"/>
      <w:lvlText w:val="%1."/>
      <w:lvlJc w:val="left"/>
      <w:pPr>
        <w:ind w:left="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1" w:hanging="360"/>
      </w:pPr>
    </w:lvl>
    <w:lvl w:ilvl="2" w:tplc="0421001B" w:tentative="1">
      <w:start w:val="1"/>
      <w:numFmt w:val="lowerRoman"/>
      <w:lvlText w:val="%3."/>
      <w:lvlJc w:val="right"/>
      <w:pPr>
        <w:ind w:left="2111" w:hanging="180"/>
      </w:pPr>
    </w:lvl>
    <w:lvl w:ilvl="3" w:tplc="0421000F" w:tentative="1">
      <w:start w:val="1"/>
      <w:numFmt w:val="decimal"/>
      <w:lvlText w:val="%4."/>
      <w:lvlJc w:val="left"/>
      <w:pPr>
        <w:ind w:left="2831" w:hanging="360"/>
      </w:pPr>
    </w:lvl>
    <w:lvl w:ilvl="4" w:tplc="04210019" w:tentative="1">
      <w:start w:val="1"/>
      <w:numFmt w:val="lowerLetter"/>
      <w:lvlText w:val="%5."/>
      <w:lvlJc w:val="left"/>
      <w:pPr>
        <w:ind w:left="3551" w:hanging="360"/>
      </w:pPr>
    </w:lvl>
    <w:lvl w:ilvl="5" w:tplc="0421001B" w:tentative="1">
      <w:start w:val="1"/>
      <w:numFmt w:val="lowerRoman"/>
      <w:lvlText w:val="%6."/>
      <w:lvlJc w:val="right"/>
      <w:pPr>
        <w:ind w:left="4271" w:hanging="180"/>
      </w:pPr>
    </w:lvl>
    <w:lvl w:ilvl="6" w:tplc="0421000F" w:tentative="1">
      <w:start w:val="1"/>
      <w:numFmt w:val="decimal"/>
      <w:lvlText w:val="%7."/>
      <w:lvlJc w:val="left"/>
      <w:pPr>
        <w:ind w:left="4991" w:hanging="360"/>
      </w:pPr>
    </w:lvl>
    <w:lvl w:ilvl="7" w:tplc="04210019" w:tentative="1">
      <w:start w:val="1"/>
      <w:numFmt w:val="lowerLetter"/>
      <w:lvlText w:val="%8."/>
      <w:lvlJc w:val="left"/>
      <w:pPr>
        <w:ind w:left="5711" w:hanging="360"/>
      </w:pPr>
    </w:lvl>
    <w:lvl w:ilvl="8" w:tplc="0421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>
    <w:nsid w:val="457272C5"/>
    <w:multiLevelType w:val="hybridMultilevel"/>
    <w:tmpl w:val="7C983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2058"/>
    <w:multiLevelType w:val="hybridMultilevel"/>
    <w:tmpl w:val="D65C3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59B3"/>
    <w:multiLevelType w:val="hybridMultilevel"/>
    <w:tmpl w:val="83BA0E18"/>
    <w:lvl w:ilvl="0" w:tplc="83CE082A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C"/>
    <w:rsid w:val="002F3223"/>
    <w:rsid w:val="003E72E2"/>
    <w:rsid w:val="00556AB0"/>
    <w:rsid w:val="0082600C"/>
    <w:rsid w:val="00B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0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0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Wulandari</dc:creator>
  <cp:lastModifiedBy>Anastasia Wulandari</cp:lastModifiedBy>
  <cp:revision>3</cp:revision>
  <dcterms:created xsi:type="dcterms:W3CDTF">2019-09-26T17:48:00Z</dcterms:created>
  <dcterms:modified xsi:type="dcterms:W3CDTF">2019-09-26T18:08:00Z</dcterms:modified>
</cp:coreProperties>
</file>